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1034"/>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 开 招 标 文 件</w:t>
      </w:r>
      <w:r/>
    </w:p>
    <w:p>
      <w:pPr>
        <w:pStyle w:val="1034"/>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1034"/>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4"/>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4"/>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JSZC-320200-XWJC-G2025-0021</w:t>
      </w:r>
      <w:r/>
    </w:p>
    <w:p>
      <w:pPr>
        <w:ind w:left="3200" w:hanging="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无锡市妇幼保健院宫腔镜手术系统项目（第二次）</w:t>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无锡市妇幼保健院</w:t>
      </w:r>
      <w:r/>
    </w:p>
    <w:p>
      <w:pPr>
        <w:pStyle w:val="1034"/>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采购代理机构：无锡市卫生健康综合服务中心</w:t>
      </w:r>
      <w:r/>
    </w:p>
    <w:p>
      <w:pPr>
        <w:pStyle w:val="1034"/>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4"/>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4"/>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none"/>
          <w14:textFill>
            <w14:solidFill>
              <w14:schemeClr w14:val="tx1"/>
            </w14:solidFill>
          </w14:textFill>
        </w:rPr>
        <w:t xml:space="preserve">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三</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1034"/>
        <w:ind w:firstLine="0"/>
        <w:jc w:val="center"/>
        <w:rPr>
          <w:rFonts w:hint="eastAsia" w:ascii="黑体" w:hAnsi="黑体" w:eastAsia="黑体"/>
          <w:color w:val="000000" w:themeColor="text1"/>
          <w:sz w:val="36"/>
          <w:szCs w:val="36"/>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13029200"/>
      <w:r/>
      <w:bookmarkStart w:id="2" w:name="_Toc16938516"/>
      <w:r/>
      <w:bookmarkStart w:id="3" w:name="_Toc20823272"/>
      <w:r/>
      <w:bookmarkStart w:id="4" w:name="_Toc523127445"/>
      <w:r/>
      <w:bookmarkStart w:id="5" w:name="_Toc479757206"/>
      <w:r/>
      <w:r/>
    </w:p>
    <w:p>
      <w:pPr>
        <w:pStyle w:val="1034"/>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合同文本---------------------------------（23）</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采购需求---------------------------------（29）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评标方法与评标标准-----------------------（38）</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投标文件内容与格式-----------------------（44）</w:t>
      </w:r>
      <w:r/>
    </w:p>
    <w:p>
      <w:pPr>
        <w:pStyle w:val="751"/>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none"/>
          <w:shd w:val="clear" w:color="auto" w:fill="ffffff"/>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none"/>
          <w14:textFill>
            <w14:solidFill>
              <w14:schemeClr w14:val="tx1"/>
            </w14:solidFill>
          </w14:textFill>
        </w:rPr>
        <w:t xml:space="preserve">政府采购提醒函</w:t>
      </w:r>
      <w:r/>
    </w:p>
    <w:p>
      <w:pPr>
        <w:pStyle w:val="751"/>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各投标供应商：</w:t>
      </w:r>
      <w:r/>
    </w:p>
    <w:p>
      <w:pPr>
        <w:pStyle w:val="733"/>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3"/>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一、串标情形</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1. 《中华人民共和国政府采购法实施条例》第七十四条</w:t>
      </w:r>
      <w:r/>
    </w:p>
    <w:p>
      <w:pPr>
        <w:pStyle w:val="751"/>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1"/>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1"/>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（二）供应商按照采购人或者采购代理机构的授意撤换、修改投标文件或者响应文件。</w:t>
      </w:r>
      <w:r/>
    </w:p>
    <w:p>
      <w:pPr>
        <w:pStyle w:val="751"/>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（三）供应商之间协商报价、技术方案等投标文件或者响应文件的实质性内容。</w:t>
      </w:r>
      <w:r/>
    </w:p>
    <w:p>
      <w:pPr>
        <w:pStyle w:val="751"/>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1"/>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（五）供应商之间事先约定由某一特定供应商中标、成交。</w:t>
      </w:r>
      <w:r/>
    </w:p>
    <w:p>
      <w:pPr>
        <w:pStyle w:val="751"/>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（六）供应商之间商定部分供应商放弃参加政府采购活动或者放弃中标、成交。</w:t>
      </w:r>
      <w:r/>
    </w:p>
    <w:p>
      <w:pPr>
        <w:pStyle w:val="751"/>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2. 《货物和服务招标投标管理办法》（财政部87号令）第三十七条</w:t>
      </w:r>
      <w:r/>
    </w:p>
    <w:p>
      <w:pPr>
        <w:pStyle w:val="751"/>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有下列情形之一的，视为投标人串通投标，其投标无效：</w:t>
      </w:r>
      <w:r/>
    </w:p>
    <w:p>
      <w:pPr>
        <w:pStyle w:val="751"/>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（一）不同投标人的投标文件由同一单位或者个人编制。</w:t>
      </w:r>
      <w:r/>
    </w:p>
    <w:p>
      <w:pPr>
        <w:pStyle w:val="751"/>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（二）不同投标人委托同一单位或者个人办理投标事宜。</w:t>
      </w:r>
      <w:r/>
    </w:p>
    <w:p>
      <w:pPr>
        <w:pStyle w:val="751"/>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（三）不同投标人的投标文件载明的项目管理成员或者联系人员为同一人。</w:t>
      </w:r>
      <w:r/>
    </w:p>
    <w:p>
      <w:pPr>
        <w:pStyle w:val="751"/>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（四）不同投标人的投标文件异常一致或者投标报价呈规律性差异。</w:t>
      </w:r>
      <w:r/>
    </w:p>
    <w:p>
      <w:pPr>
        <w:pStyle w:val="751"/>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（五）不同投标人的投标文件相互混装。</w:t>
      </w:r>
      <w:r/>
    </w:p>
    <w:p>
      <w:pPr>
        <w:pStyle w:val="751"/>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（六）不同投标人的投标保证金从同一单位或者个人的账户转出。</w:t>
      </w:r>
      <w:r/>
    </w:p>
    <w:p>
      <w:pPr>
        <w:pStyle w:val="733"/>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二、后果 </w:t>
      </w:r>
      <w:r/>
    </w:p>
    <w:p>
      <w:pPr>
        <w:pStyle w:val="751"/>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1"/>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1"/>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pStyle w:val="734"/>
        <w:ind w:firstLine="0"/>
        <w:rPr>
          <w:highlight w:val="none"/>
        </w:rPr>
      </w:pPr>
      <w:r>
        <w:rPr>
          <w:highlight w:val="none"/>
        </w:rPr>
      </w:r>
      <w:r/>
    </w:p>
    <w:p>
      <w:pPr>
        <w:pStyle w:val="734"/>
        <w:ind w:firstLine="0"/>
        <w:rPr>
          <w:highlight w:val="none"/>
        </w:rPr>
      </w:pPr>
      <w:r>
        <w:rPr>
          <w:highlight w:val="none"/>
        </w:rPr>
      </w:r>
      <w:r/>
    </w:p>
    <w:p>
      <w:pPr>
        <w:pStyle w:val="734"/>
        <w:ind w:firstLine="0"/>
        <w:rPr>
          <w:highlight w:val="none"/>
        </w:rPr>
      </w:pPr>
      <w:r>
        <w:rPr>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无锡市妇幼保健院</w:t>
      </w:r>
      <w:r>
        <w:rPr>
          <w:rFonts w:hint="eastAsia" w:ascii="宋体" w:hAnsi="宋体"/>
          <w:color w:val="000000" w:themeColor="text1"/>
          <w:sz w:val="24"/>
          <w:szCs w:val="24"/>
          <w:highlight w:val="non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none"/>
          <w:lang w:eastAsia="zh-CN"/>
          <w14:textFill>
            <w14:solidFill>
              <w14:schemeClr w14:val="tx1"/>
            </w14:solidFill>
          </w14:textFill>
        </w:rPr>
        <w:t xml:space="preserve">无锡市妇幼保健院宫腔镜手术系统项目（第二次）</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JSZC-320200-XWJC-G2025-0021</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无锡市妇幼保健院宫腔镜手术系统项目（第二次）</w:t>
      </w:r>
      <w:r>
        <w:rPr>
          <w:rFonts w:hint="eastAsia" w:ascii="宋体" w:hAnsi="宋体"/>
          <w:color w:val="000000" w:themeColor="text1"/>
          <w:sz w:val="24"/>
          <w:szCs w:val="24"/>
          <w:highlight w:val="non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none"/>
          <w:lang w:eastAsia="zh-CN"/>
          <w14:textFill>
            <w14:solidFill>
              <w14:schemeClr w14:val="tx1"/>
            </w14:solidFill>
          </w14:textFill>
        </w:rPr>
        <w:t xml:space="preserve">2026年3月26日1</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点</w:t>
      </w:r>
      <w:r>
        <w:rPr>
          <w:rFonts w:hint="eastAsia" w:ascii="宋体" w:hAnsi="宋体"/>
          <w:color w:val="000000" w:themeColor="text1"/>
          <w:sz w:val="24"/>
          <w:szCs w:val="24"/>
          <w:highlight w:val="none"/>
          <w:lang w:val="en-US" w:eastAsia="zh-CN"/>
          <w14:textFill>
            <w14:solidFill>
              <w14:schemeClr w14:val="tx1"/>
            </w14:solidFill>
          </w14:textFill>
        </w:rPr>
        <w:t xml:space="preserve">30分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 w:name="_Toc38985263"/>
      <w:r/>
      <w:bookmarkStart w:id="7" w:name="_Toc28359002"/>
      <w:r/>
      <w:bookmarkStart w:id="8" w:name="_Toc28359079"/>
      <w:r/>
      <w:bookmarkStart w:id="9" w:name="_Toc35393790"/>
      <w:r/>
      <w:bookmarkStart w:id="10" w:name="_Toc35393621"/>
      <w:r/>
      <w:bookmarkStart w:id="11" w:name="_Hlk24379207"/>
      <w:r>
        <w:rPr>
          <w:rFonts w:hint="eastAsia"/>
          <w:color w:val="000000" w:themeColor="text1"/>
          <w:sz w:val="30"/>
          <w:szCs w:val="30"/>
          <w:highlight w:val="non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JSZC-320200-XWJC-G2025-0021</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无锡市妇幼保健院宫腔镜手术系统项目（第二次）</w:t>
      </w:r>
      <w:r/>
    </w:p>
    <w:p>
      <w:pPr>
        <w:ind w:firstLine="480"/>
        <w:spacing w:line="50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color w:val="000000" w:themeColor="text1"/>
          <w:sz w:val="24"/>
          <w:szCs w:val="24"/>
          <w:highlight w:val="none"/>
          <w:lang w:val="en-US" w:eastAsia="zh-CN"/>
          <w14:textFill>
            <w14:solidFill>
              <w14:schemeClr w14:val="tx1"/>
            </w14:solidFill>
          </w14:textFill>
        </w:rPr>
        <w:t xml:space="preserve">80</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lang w:val="en-US" w:eastAsia="zh-CN"/>
          <w14:textFill>
            <w14:solidFill>
              <w14:schemeClr w14:val="tx1"/>
            </w14:solidFill>
          </w14:textFill>
        </w:rPr>
        <w:t xml:space="preserve">1台</w:t>
      </w:r>
      <w:r/>
    </w:p>
    <w:p>
      <w:pPr>
        <w:ind w:firstLine="480"/>
        <w:spacing w:line="500" w:lineRule="exact"/>
        <w:rPr>
          <w:rFonts w:hint="eastAsia" w:ascii="宋体" w:hAnsi="宋体" w:cs="宋体"/>
          <w:i/>
          <w:i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w:t>
      </w:r>
      <w:r>
        <w:rPr>
          <w:rFonts w:hint="eastAsia" w:ascii="宋体" w:hAnsi="宋体"/>
          <w:color w:val="000000" w:themeColor="text1"/>
          <w:sz w:val="24"/>
          <w:szCs w:val="24"/>
          <w:highlight w:val="none"/>
          <w:lang w:val="en-US" w:eastAsia="zh-CN"/>
          <w14:textFill>
            <w14:solidFill>
              <w14:schemeClr w14:val="tx1"/>
            </w14:solidFill>
          </w14:textFill>
        </w:rPr>
        <w:t xml:space="preserve">80</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7.本项目不接受联合体投标。</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 w:name="_Toc38985264"/>
      <w:r/>
      <w:bookmarkStart w:id="13" w:name="_Toc35393791"/>
      <w:r/>
      <w:bookmarkStart w:id="14" w:name="_Toc28359080"/>
      <w:r/>
      <w:bookmarkStart w:id="15" w:name="_Toc35393622"/>
      <w:r/>
      <w:bookmarkStart w:id="16" w:name="_Toc28359003"/>
      <w:r>
        <w:rPr>
          <w:rFonts w:hint="eastAsia"/>
          <w:color w:val="000000" w:themeColor="text1"/>
          <w:sz w:val="30"/>
          <w:szCs w:val="30"/>
          <w:highlight w:val="non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28359004"/>
      <w:r/>
      <w:bookmarkStart w:id="18" w:name="_Toc28359081"/>
      <w:r/>
      <w:bookmarkStart w:id="19" w:name="_Toc38985265"/>
      <w:r/>
      <w:bookmarkStart w:id="20" w:name="_Toc35393623"/>
      <w:r/>
      <w:bookmarkStart w:id="21" w:name="_Toc35393792"/>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2.1中小企业政策：本项目非专门面向中小企业；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所投产品有效完整的医疗器械注册证或备案凭证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3.1.1一类医疗器械：所投产品的备案凭证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3.1.2二类、三类医疗器械：中华人民共和国医疗器械注册证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3.3投标人医疗器械企业经营许可证或备案凭证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3.3.1一类医疗器械：无需</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3.3.3三类医疗器械：投标人医疗器械经营许可证。</w:t>
      </w:r>
      <w:r/>
    </w:p>
    <w:p>
      <w:pPr>
        <w:ind w:firstLine="480"/>
        <w:spacing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w:t>
      </w:r>
      <w:r>
        <w:rPr>
          <w:rFonts w:hint="eastAsia" w:ascii="宋体" w:hAnsi="宋体" w:cs="宋体"/>
          <w:color w:val="000000" w:themeColor="text1"/>
          <w:sz w:val="24"/>
          <w:szCs w:val="24"/>
          <w:highlight w:val="non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1023"/>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non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lang w:eastAsia="zh-CN"/>
          <w14:textFill>
            <w14:solidFill>
              <w14:schemeClr w14:val="tx1"/>
            </w14:solidFill>
          </w14:textFill>
        </w:rPr>
        <w:t xml:space="preserve">2026年3月26日1</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点</w:t>
      </w:r>
      <w:r>
        <w:rPr>
          <w:rFonts w:hint="eastAsia" w:ascii="宋体" w:hAnsi="宋体"/>
          <w:color w:val="000000" w:themeColor="text1"/>
          <w:sz w:val="24"/>
          <w:szCs w:val="24"/>
          <w:highlight w:val="none"/>
          <w:lang w:val="en-US" w:eastAsia="zh-CN"/>
          <w14:textFill>
            <w14:solidFill>
              <w14:schemeClr w14:val="tx1"/>
            </w14:solidFill>
          </w14:textFill>
        </w:rPr>
        <w:t xml:space="preserve">30分</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27" w:name="_Toc28359084"/>
      <w:r/>
      <w:bookmarkStart w:id="28" w:name="_Toc35393625"/>
      <w:r/>
      <w:bookmarkStart w:id="29" w:name="_Toc35393794"/>
      <w:r/>
      <w:bookmarkStart w:id="30" w:name="_Toc38985267"/>
      <w:r/>
      <w:bookmarkStart w:id="31" w:name="_Toc28359007"/>
      <w:r>
        <w:rPr>
          <w:rFonts w:hint="eastAsia"/>
          <w:color w:val="000000" w:themeColor="text1"/>
          <w:sz w:val="30"/>
          <w:szCs w:val="30"/>
          <w:highlight w:val="non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5393795"/>
      <w:r/>
      <w:bookmarkStart w:id="33" w:name="_Toc35393626"/>
      <w:r/>
      <w:bookmarkStart w:id="34" w:name="_Toc38985268"/>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35" w:name="_Toc35393796"/>
      <w:r/>
      <w:bookmarkStart w:id="36" w:name="_Toc35393627"/>
      <w:r/>
      <w:bookmarkStart w:id="37" w:name="_Toc38985269"/>
      <w:r/>
      <w:bookmarkStart w:id="38" w:name="_Toc28359008"/>
      <w:r/>
      <w:bookmarkStart w:id="39" w:name="_Toc28359085"/>
      <w:r>
        <w:rPr>
          <w:rFonts w:hint="eastAsia"/>
          <w:color w:val="000000" w:themeColor="text1"/>
          <w:sz w:val="30"/>
          <w:szCs w:val="30"/>
          <w:highlight w:val="non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无锡市妇幼保健院</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址：无锡市梁溪区槐树巷48号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采购人项目咨询联系人：联系人姓名：</w:t>
      </w:r>
      <w:r>
        <w:rPr>
          <w:rFonts w:hint="eastAsia" w:ascii="宋体" w:hAnsi="宋体" w:cs="宋体"/>
          <w:color w:val="000000" w:themeColor="text1"/>
          <w:sz w:val="24"/>
          <w:szCs w:val="24"/>
          <w:highlight w:val="none"/>
          <w:lang w:val="en-US" w:eastAsia="zh-CN"/>
          <w14:textFill>
            <w14:solidFill>
              <w14:schemeClr w14:val="tx1"/>
            </w14:solidFill>
          </w14:textFill>
        </w:rPr>
        <w:t xml:space="preserve">李</w:t>
      </w:r>
      <w:r>
        <w:rPr>
          <w:rFonts w:hint="eastAsia" w:ascii="宋体" w:hAnsi="宋体" w:cs="宋体"/>
          <w:color w:val="000000" w:themeColor="text1"/>
          <w:sz w:val="24"/>
          <w:szCs w:val="24"/>
          <w:highlight w:val="none"/>
          <w14:textFill>
            <w14:solidFill>
              <w14:schemeClr w14:val="tx1"/>
            </w14:solidFill>
          </w14:textFill>
        </w:rPr>
        <w:t xml:space="preserve">老师；电话：0510-68004136</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采购人质疑受理联系人：受理人姓名：</w:t>
      </w:r>
      <w:r>
        <w:rPr>
          <w:rFonts w:hint="eastAsia" w:ascii="宋体" w:hAnsi="宋体" w:cs="宋体"/>
          <w:color w:val="000000" w:themeColor="text1"/>
          <w:sz w:val="24"/>
          <w:szCs w:val="24"/>
          <w:highlight w:val="none"/>
          <w:lang w:val="en-US" w:eastAsia="zh-CN"/>
          <w14:textFill>
            <w14:solidFill>
              <w14:schemeClr w14:val="tx1"/>
            </w14:solidFill>
          </w14:textFill>
        </w:rPr>
        <w:t xml:space="preserve">马</w:t>
      </w:r>
      <w:r>
        <w:rPr>
          <w:rFonts w:hint="eastAsia" w:ascii="宋体" w:hAnsi="宋体" w:cs="宋体"/>
          <w:color w:val="000000" w:themeColor="text1"/>
          <w:sz w:val="24"/>
          <w:szCs w:val="24"/>
          <w:highlight w:val="none"/>
          <w14:textFill>
            <w14:solidFill>
              <w14:schemeClr w14:val="tx1"/>
            </w14:solidFill>
          </w14:textFill>
        </w:rPr>
        <w:t xml:space="preserve">老师；电话：0510</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81910719</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无锡市卫生健康综合服务中心项目联系人：孙老师；电话：0510-85757946</w:t>
      </w:r>
      <w:r/>
    </w:p>
    <w:p>
      <w:pPr>
        <w:pStyle w:val="952"/>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号楼二楼</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号窗口</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“苏采云”系统账号登录</w:t>
      </w:r>
      <w:r>
        <w:rPr>
          <w:rFonts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52"/>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16938519"/>
      <w:r/>
      <w:bookmarkStart w:id="48" w:name="_Toc120614214"/>
      <w:r/>
      <w:bookmarkStart w:id="49" w:name="_Toc20823275"/>
      <w:r/>
      <w:bookmarkStart w:id="50" w:name="_Toc513029203"/>
      <w:r/>
      <w:bookmarkStart w:id="51" w:name="_Toc479757207"/>
      <w:r/>
      <w:bookmarkStart w:id="52" w:name="_Toc20823314"/>
      <w:r/>
      <w:bookmarkStart w:id="53" w:name="_Toc120614221"/>
      <w:r/>
      <w:bookmarkStart w:id="54" w:name="_Toc16938558"/>
      <w:r/>
      <w:bookmarkStart w:id="55" w:name="_Toc513029242"/>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6" w:name="_Hlt16619475"/>
      <w:r/>
      <w:bookmarkEnd w:id="56"/>
      <w:r/>
      <w:bookmarkStart w:id="57" w:name="_Toc513029204"/>
      <w:r/>
      <w:bookmarkStart w:id="58" w:name="_Toc20823276"/>
      <w:r/>
      <w:bookmarkStart w:id="59" w:name="_Toc16938520"/>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7"/>
      <w:r/>
      <w:bookmarkEnd w:id="58"/>
      <w:r/>
      <w:bookmarkEnd w:id="59"/>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0" w:name="_Toc513029205"/>
      <w:r/>
      <w:bookmarkStart w:id="61" w:name="_Toc20823277"/>
      <w:r/>
      <w:bookmarkStart w:id="62" w:name="_Toc16938521"/>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60"/>
      <w:r/>
      <w:bookmarkEnd w:id="61"/>
      <w:r/>
      <w:bookmarkEnd w:id="62"/>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3" w:name="_Toc20823278"/>
      <w:r/>
      <w:bookmarkStart w:id="64" w:name="_Toc16938522"/>
      <w:r/>
      <w:bookmarkStart w:id="65" w:name="_Toc513029206"/>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63"/>
      <w:r/>
      <w:bookmarkEnd w:id="64"/>
      <w:r/>
      <w:bookmarkEnd w:id="65"/>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6" w:name="_Toc16938523"/>
      <w:r/>
      <w:bookmarkStart w:id="67" w:name="_Toc20823279"/>
      <w:r/>
      <w:bookmarkStart w:id="68" w:name="_Toc513029207"/>
      <w:r/>
      <w:bookmarkStart w:id="69" w:name="_Toc462564067"/>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6"/>
      <w:r/>
      <w:bookmarkEnd w:id="67"/>
      <w:r/>
      <w:bookmarkEnd w:id="68"/>
      <w:r/>
      <w:bookmarkEnd w:id="69"/>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52"/>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70" w:name="_Toc120614215"/>
      <w:r/>
      <w:bookmarkStart w:id="71" w:name="_Toc20823281"/>
      <w:r/>
      <w:bookmarkStart w:id="72" w:name="_Toc16938525"/>
      <w:r/>
      <w:bookmarkStart w:id="73" w:name="_Toc513029209"/>
      <w:r>
        <w:rPr>
          <w:rFonts w:hint="eastAsia"/>
          <w:color w:val="000000" w:themeColor="text1"/>
          <w:sz w:val="30"/>
          <w:szCs w:val="30"/>
          <w:highlight w:val="white"/>
          <w:lang w:eastAsia="zh-CN"/>
          <w14:textFill>
            <w14:solidFill>
              <w14:schemeClr w14:val="tx1"/>
            </w14:solidFill>
          </w14:textFill>
        </w:rPr>
        <w:t xml:space="preserve">二、招标文件</w:t>
      </w:r>
      <w:bookmarkEnd w:id="70"/>
      <w:r/>
      <w:bookmarkEnd w:id="71"/>
      <w:r/>
      <w:bookmarkEnd w:id="72"/>
      <w:r/>
      <w:bookmarkEnd w:id="73"/>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74" w:name="_Toc20823282"/>
      <w:r/>
      <w:bookmarkStart w:id="75" w:name="_Toc513029210"/>
      <w:r/>
      <w:bookmarkStart w:id="76" w:name="_Toc16938526"/>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74"/>
      <w:r/>
      <w:bookmarkEnd w:id="75"/>
      <w:r/>
      <w:bookmarkEnd w:id="76"/>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77" w:name="_Toc513029211"/>
      <w:r/>
      <w:bookmarkStart w:id="78" w:name="_Toc20823283"/>
      <w:r/>
      <w:bookmarkStart w:id="79" w:name="_Toc462564070"/>
      <w:r/>
      <w:bookmarkStart w:id="80" w:name="_Toc16938527"/>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7"/>
      <w:r/>
      <w:bookmarkEnd w:id="78"/>
      <w:r/>
      <w:bookmarkEnd w:id="79"/>
      <w:r/>
      <w:bookmarkEnd w:id="80"/>
      <w:r/>
      <w:r/>
    </w:p>
    <w:p>
      <w:pPr>
        <w:ind w:firstLine="480"/>
        <w:spacing w:line="500" w:lineRule="exact"/>
        <w:rPr>
          <w:rFonts w:ascii="宋体" w:hAnsi="宋体"/>
          <w:bCs/>
          <w:sz w:val="24"/>
          <w:highlight w:val="white"/>
        </w:rPr>
      </w:pPr>
      <w:r/>
      <w:bookmarkStart w:id="81" w:name="_Toc462564071"/>
      <w:r/>
      <w:bookmarkStart w:id="82" w:name="_Toc513029212"/>
      <w:r/>
      <w:bookmarkStart w:id="83" w:name="_Toc20823284"/>
      <w:r/>
      <w:bookmarkStart w:id="84" w:name="_Toc16938528"/>
      <w:r>
        <w:rPr>
          <w:rFonts w:hint="eastAsia" w:ascii="宋体" w:hAnsi="宋体"/>
          <w:bCs/>
          <w:sz w:val="24"/>
          <w:highlight w:val="whit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81"/>
      <w:r/>
      <w:bookmarkEnd w:id="82"/>
      <w:r/>
      <w:bookmarkEnd w:id="83"/>
      <w:r/>
      <w:bookmarkEnd w:id="84"/>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如需对招标文件进行澄清或修改，无锡市卫生健康综合服务中心将在</w:t>
      </w:r>
      <w:r>
        <w:rPr>
          <w:rFonts w:hint="eastAsia" w:ascii="宋体" w:hAnsi="宋体"/>
          <w:bCs/>
          <w:color w:val="000000" w:themeColor="text1"/>
          <w:sz w:val="24"/>
          <w:szCs w:val="24"/>
          <w:highlight w:val="white"/>
          <w:lang w:val="en-US" w:eastAsia="zh-CN"/>
          <w14:textFill>
            <w14:solidFill>
              <w14:schemeClr w14:val="tx1"/>
            </w14:solidFill>
          </w14:textFill>
        </w:rPr>
        <w:t xml:space="preserve">江苏</w:t>
      </w:r>
      <w:r>
        <w:rPr>
          <w:rFonts w:hint="eastAsia" w:ascii="宋体" w:hAnsi="宋体"/>
          <w:bCs/>
          <w:color w:val="000000" w:themeColor="text1"/>
          <w:sz w:val="24"/>
          <w:szCs w:val="24"/>
          <w:highlight w:val="white"/>
          <w14:textFill>
            <w14:solidFill>
              <w14:schemeClr w14:val="tx1"/>
            </w14:solidFill>
          </w14:textFill>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52"/>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5" w:name="_Toc20823285"/>
      <w:r/>
      <w:bookmarkStart w:id="86" w:name="_Toc462564072"/>
      <w:r/>
      <w:bookmarkStart w:id="87" w:name="_Toc513029213"/>
      <w:r/>
      <w:bookmarkStart w:id="88" w:name="_Toc16938529"/>
      <w:r/>
      <w:bookmarkStart w:id="89" w:name="_Toc120614216"/>
      <w:r>
        <w:rPr>
          <w:rFonts w:hint="eastAsia"/>
          <w:color w:val="000000" w:themeColor="text1"/>
          <w:sz w:val="30"/>
          <w:szCs w:val="30"/>
          <w:highlight w:val="white"/>
          <w:lang w:eastAsia="zh-CN"/>
          <w14:textFill>
            <w14:solidFill>
              <w14:schemeClr w14:val="tx1"/>
            </w14:solidFill>
          </w14:textFill>
        </w:rPr>
        <w:t xml:space="preserve">三、投标文件的编制</w:t>
      </w:r>
      <w:bookmarkEnd w:id="85"/>
      <w:r/>
      <w:bookmarkEnd w:id="86"/>
      <w:r/>
      <w:bookmarkEnd w:id="87"/>
      <w:r/>
      <w:bookmarkEnd w:id="88"/>
      <w:r/>
      <w:bookmarkEnd w:id="89"/>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90" w:name="_Toc462564073"/>
      <w:r/>
      <w:bookmarkStart w:id="91" w:name="_Toc20823286"/>
      <w:r/>
      <w:bookmarkStart w:id="92" w:name="_Toc16938530"/>
      <w:r/>
      <w:bookmarkStart w:id="93" w:name="_Toc513029214"/>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90"/>
      <w:r/>
      <w:bookmarkEnd w:id="91"/>
      <w:r/>
      <w:bookmarkEnd w:id="92"/>
      <w:r/>
      <w:bookmarkEnd w:id="93"/>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9.3投标文件中的非中文材料，需同时提供经公证处公证的中文翻译件，公证内容应包括中文翻译件与原文一致的内容，并加盖投标人公章。</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94" w:name="_Toc20823287"/>
      <w:r/>
      <w:bookmarkStart w:id="95" w:name="_Toc16938531"/>
      <w:r/>
      <w:bookmarkStart w:id="96" w:name="_Toc462564074"/>
      <w:r/>
      <w:bookmarkStart w:id="97" w:name="_Toc513029215"/>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94"/>
      <w:r/>
      <w:bookmarkEnd w:id="95"/>
      <w:r/>
      <w:bookmarkEnd w:id="96"/>
      <w:r/>
      <w:bookmarkEnd w:id="97"/>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10.2投标人所需提供的相关证明文件和要求以及投标文件的部分格式要求，详见第六章《投标文件内容与格式》。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98" w:name="_Hlt26670360"/>
      <w:r/>
      <w:bookmarkEnd w:id="98"/>
      <w:r/>
      <w:bookmarkStart w:id="99" w:name="_Hlt26954838"/>
      <w:r/>
      <w:bookmarkEnd w:id="99"/>
      <w:r/>
      <w:bookmarkStart w:id="100" w:name="_Hlt26668975"/>
      <w:r/>
      <w:bookmarkEnd w:id="100"/>
      <w:r/>
      <w:bookmarkStart w:id="101" w:name="_Toc14577357"/>
      <w:r/>
      <w:bookmarkStart w:id="102" w:name="_Toc49090507"/>
      <w:r/>
      <w:bookmarkStart w:id="103" w:name="_Toc513029219"/>
      <w:r/>
      <w:bookmarkStart w:id="104" w:name="_Toc14577354"/>
      <w:r/>
      <w:bookmarkStart w:id="105" w:name="_Toc513029216"/>
      <w:r/>
      <w:bookmarkStart w:id="106" w:name="_Toc49090509"/>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101"/>
      <w:r/>
      <w:bookmarkEnd w:id="102"/>
      <w:r/>
      <w:bookmarkEnd w:id="103"/>
      <w:r/>
      <w:bookmarkEnd w:id="104"/>
      <w:r/>
      <w:bookmarkEnd w:id="105"/>
      <w:r/>
      <w:bookmarkEnd w:id="106"/>
      <w:r/>
      <w:r/>
    </w:p>
    <w:p>
      <w:pPr>
        <w:ind w:firstLine="480"/>
        <w:spacing w:line="500" w:lineRule="exact"/>
        <w:rPr>
          <w:rFonts w:ascii="宋体" w:hAnsi="宋体"/>
          <w:bCs/>
          <w:color w:val="000000" w:themeColor="text1"/>
          <w:sz w:val="24"/>
          <w:highlight w:val="white"/>
          <w14:textFill>
            <w14:solidFill>
              <w14:schemeClr w14:val="tx1"/>
            </w14:solidFill>
          </w14:textFill>
        </w:rPr>
      </w:pPr>
      <w:r/>
      <w:bookmarkStart w:id="107" w:name="_Toc49090508"/>
      <w:r/>
      <w:bookmarkStart w:id="108" w:name="_Toc14577355"/>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w:t>
      </w:r>
      <w:r>
        <w:rPr>
          <w:rFonts w:hint="eastAsia" w:ascii="宋体" w:hAnsi="宋体"/>
          <w:bCs/>
          <w:color w:val="000000" w:themeColor="text1"/>
          <w:sz w:val="24"/>
          <w:highlight w:val="white"/>
          <w:lang w:val="en-US" w:eastAsia="zh-CN"/>
          <w14:textFill>
            <w14:solidFill>
              <w14:schemeClr w14:val="tx1"/>
            </w14:solidFill>
          </w14:textFill>
        </w:rPr>
        <w:t xml:space="preserve">的</w:t>
      </w:r>
      <w:r>
        <w:rPr>
          <w:rFonts w:hint="eastAsia" w:ascii="宋体" w:hAnsi="宋体"/>
          <w:bCs/>
          <w:color w:val="000000" w:themeColor="text1"/>
          <w:sz w:val="24"/>
          <w:highlight w:val="white"/>
          <w14:textFill>
            <w14:solidFill>
              <w14:schemeClr w14:val="tx1"/>
            </w14:solidFill>
          </w14:textFill>
        </w:rPr>
        <w:t xml:space="preserve">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9" w:name="_Toc14577359"/>
      <w:r/>
      <w:bookmarkStart w:id="110" w:name="_Toc49090510"/>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12.2对于采用货币报价的项目，开标一览表中的投标总报价应与细目报价表的总额一致，如不一致，不作为无效投标处理，但评标时按开标一览表中的价格为准。</w:t>
      </w:r>
      <w:bookmarkEnd w:id="109"/>
      <w:r/>
      <w:bookmarkEnd w:id="110"/>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7"/>
      <w:r/>
      <w:bookmarkEnd w:id="108"/>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11" w:name="_Hlt26954840"/>
      <w:r/>
      <w:bookmarkEnd w:id="111"/>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12" w:name="_Hlt26670399"/>
      <w:r/>
      <w:bookmarkEnd w:id="112"/>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13" w:name="_Hlt26670425"/>
      <w:r/>
      <w:bookmarkEnd w:id="113"/>
      <w:r/>
      <w:bookmarkStart w:id="114" w:name="_Hlt26954848"/>
      <w:r/>
      <w:bookmarkEnd w:id="114"/>
      <w:r/>
      <w:bookmarkStart w:id="115" w:name="_Hlt26954842"/>
      <w:r/>
      <w:bookmarkEnd w:id="115"/>
      <w:r/>
      <w:bookmarkStart w:id="116" w:name="_Hlt26670482"/>
      <w:r/>
      <w:bookmarkEnd w:id="116"/>
      <w:r/>
      <w:bookmarkStart w:id="117" w:name="_Hlt26954731"/>
      <w:r/>
      <w:bookmarkEnd w:id="117"/>
      <w:r/>
      <w:bookmarkStart w:id="118" w:name="_Hlt26668983"/>
      <w:r/>
      <w:bookmarkEnd w:id="118"/>
      <w:r/>
      <w:bookmarkStart w:id="119" w:name="_Hlt26954846"/>
      <w:r/>
      <w:bookmarkEnd w:id="119"/>
      <w:r/>
      <w:bookmarkStart w:id="120" w:name="_Hlt26670486"/>
      <w:r/>
      <w:bookmarkEnd w:id="120"/>
      <w:r/>
      <w:bookmarkStart w:id="121" w:name="_Hlt26954844"/>
      <w:r/>
      <w:bookmarkEnd w:id="121"/>
      <w:r/>
      <w:bookmarkStart w:id="122" w:name="_Hlt26670403"/>
      <w:r/>
      <w:bookmarkEnd w:id="122"/>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23" w:name="_Hlt26670489"/>
      <w:r/>
      <w:bookmarkEnd w:id="123"/>
      <w:r/>
      <w:bookmarkStart w:id="124" w:name="_Hlt26954850"/>
      <w:r/>
      <w:bookmarkEnd w:id="124"/>
      <w:r/>
      <w:bookmarkStart w:id="125" w:name="_Hlt26954734"/>
      <w:r/>
      <w:bookmarkEnd w:id="125"/>
      <w:r/>
      <w:bookmarkStart w:id="126" w:name="_Toc49090511"/>
      <w:r/>
      <w:bookmarkStart w:id="127" w:name="_Toc14577360"/>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6"/>
      <w:r/>
      <w:bookmarkEnd w:id="127"/>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52"/>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8" w:name="_Hlt26954739"/>
      <w:r/>
      <w:bookmarkEnd w:id="128"/>
      <w:r/>
      <w:bookmarkStart w:id="129" w:name="_Hlt26954852"/>
      <w:r/>
      <w:bookmarkEnd w:id="129"/>
      <w:r/>
      <w:bookmarkStart w:id="130" w:name="_Toc16938540"/>
      <w:r/>
      <w:bookmarkStart w:id="131" w:name="_Toc20823296"/>
      <w:r/>
      <w:bookmarkStart w:id="132" w:name="_Toc513029224"/>
      <w:r/>
      <w:bookmarkStart w:id="133" w:name="_Toc120614217"/>
      <w:r>
        <w:rPr>
          <w:rFonts w:hint="eastAsia"/>
          <w:color w:val="000000" w:themeColor="text1"/>
          <w:sz w:val="30"/>
          <w:szCs w:val="30"/>
          <w:highlight w:val="white"/>
          <w:lang w:eastAsia="zh-CN"/>
          <w14:textFill>
            <w14:solidFill>
              <w14:schemeClr w14:val="tx1"/>
            </w14:solidFill>
          </w14:textFill>
        </w:rPr>
        <w:t xml:space="preserve">四、投标文件的递交</w:t>
      </w:r>
      <w:bookmarkEnd w:id="130"/>
      <w:r/>
      <w:bookmarkEnd w:id="131"/>
      <w:r/>
      <w:bookmarkEnd w:id="132"/>
      <w:r/>
      <w:bookmarkEnd w:id="133"/>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4" w:name="_Toc513029225"/>
      <w:r/>
      <w:bookmarkStart w:id="135" w:name="_Toc16938541"/>
      <w:r/>
      <w:bookmarkStart w:id="136" w:name="_Toc20823297"/>
      <w:r/>
      <w:bookmarkStart w:id="137" w:name="_Toc462564084"/>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34"/>
      <w:r/>
      <w:bookmarkEnd w:id="135"/>
      <w:r/>
      <w:bookmarkEnd w:id="136"/>
      <w:r/>
      <w:bookmarkEnd w:id="137"/>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59"/>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投标人应当按照《操作手册》的规定，在投标截止时间前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8" w:name="_Toc16938542"/>
      <w:r/>
      <w:bookmarkStart w:id="139" w:name="_Toc513029226"/>
      <w:r/>
      <w:bookmarkStart w:id="140" w:name="_Toc20823298"/>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8"/>
      <w:r/>
      <w:bookmarkEnd w:id="139"/>
      <w:r/>
      <w:bookmarkEnd w:id="140"/>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1" w:name="_Toc513029227"/>
      <w:r/>
      <w:bookmarkStart w:id="142" w:name="_Toc16938543"/>
      <w:r/>
      <w:bookmarkStart w:id="143" w:name="_Toc20823299"/>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41"/>
      <w:r/>
      <w:bookmarkEnd w:id="142"/>
      <w:r/>
      <w:bookmarkEnd w:id="143"/>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4" w:name="_Toc513029228"/>
      <w:r/>
      <w:bookmarkStart w:id="145" w:name="_Toc20823300"/>
      <w:r/>
      <w:bookmarkStart w:id="146" w:name="_Toc16938544"/>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44"/>
      <w:r/>
      <w:bookmarkEnd w:id="145"/>
      <w:r/>
      <w:bookmarkEnd w:id="146"/>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52"/>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7" w:name="_Toc20823301"/>
      <w:r/>
      <w:bookmarkStart w:id="148" w:name="_Toc513029229"/>
      <w:r/>
      <w:bookmarkStart w:id="149" w:name="_Toc16938545"/>
      <w:r/>
      <w:bookmarkStart w:id="150" w:name="_Toc120614218"/>
      <w:r>
        <w:rPr>
          <w:rFonts w:hint="eastAsia"/>
          <w:color w:val="000000" w:themeColor="text1"/>
          <w:sz w:val="30"/>
          <w:szCs w:val="30"/>
          <w:highlight w:val="white"/>
          <w:lang w:eastAsia="zh-CN"/>
          <w14:textFill>
            <w14:solidFill>
              <w14:schemeClr w14:val="tx1"/>
            </w14:solidFill>
          </w14:textFill>
        </w:rPr>
        <w:t xml:space="preserve">五、开标与评标</w:t>
      </w:r>
      <w:bookmarkEnd w:id="147"/>
      <w:r/>
      <w:bookmarkEnd w:id="148"/>
      <w:r/>
      <w:bookmarkEnd w:id="149"/>
      <w:r/>
      <w:bookmarkEnd w:id="150"/>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1" w:name="_Toc16938546"/>
      <w:r/>
      <w:bookmarkStart w:id="152" w:name="_Toc513029230"/>
      <w:r/>
      <w:bookmarkStart w:id="153" w:name="_Toc20823302"/>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51"/>
      <w:r/>
      <w:bookmarkEnd w:id="152"/>
      <w:r/>
      <w:bookmarkEnd w:id="153"/>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。投标人应当按照《操作手册》的规定，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4" w:name="_Toc20823303"/>
      <w:r/>
      <w:bookmarkStart w:id="155" w:name="_Toc513029231"/>
      <w:r/>
      <w:bookmarkStart w:id="156" w:name="_Toc16938547"/>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54"/>
      <w:r/>
      <w:bookmarkEnd w:id="155"/>
      <w:r/>
      <w:bookmarkEnd w:id="156"/>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7" w:name="_Toc20823304"/>
      <w:r/>
      <w:bookmarkStart w:id="158" w:name="_Toc513029232"/>
      <w:r/>
      <w:bookmarkStart w:id="159" w:name="_Toc16938548"/>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7"/>
      <w:r/>
      <w:bookmarkEnd w:id="158"/>
      <w:r/>
      <w:bookmarkEnd w:id="159"/>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60" w:name="_Toc513029233"/>
      <w:r/>
      <w:bookmarkStart w:id="161" w:name="_Toc16938549"/>
      <w:r/>
      <w:bookmarkStart w:id="162" w:name="_Toc20823305"/>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60"/>
      <w:r/>
      <w:bookmarkEnd w:id="161"/>
      <w:r/>
      <w:bookmarkEnd w:id="162"/>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25.6.1政府采购评审中出现下列情形之一的，评审委员会应当启动异常低价投标（响应）审查程序：</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3.投标（响应）报价低于采购项目最高限价45%的，即投标（响应）报价&lt;采购项目最高限价×45%；</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相关法律法规对供应商报价有规定的，从其规定。</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white"/>
          <w14:textFill>
            <w14:solidFill>
              <w14:schemeClr w14:val="tx1"/>
            </w14:solidFill>
          </w14:textFill>
        </w:rPr>
      </w:pPr>
      <w:r/>
      <w:bookmarkStart w:id="163" w:name="_Toc20823306"/>
      <w:r/>
      <w:bookmarkStart w:id="164" w:name="_Toc513029234"/>
      <w:r/>
      <w:bookmarkStart w:id="165" w:name="_Toc16938550"/>
      <w:r>
        <w:rPr>
          <w:rFonts w:hint="eastAsia" w:ascii="宋体" w:hAnsi="宋体"/>
          <w:color w:val="000000" w:themeColor="text1"/>
          <w:sz w:val="24"/>
          <w:highlight w:val="white"/>
          <w14:textFill>
            <w14:solidFill>
              <w14:schemeClr w14:val="tx1"/>
            </w14:solidFill>
          </w14:textFill>
        </w:rPr>
        <w:t xml:space="preserve">25.</w:t>
      </w:r>
      <w:r>
        <w:rPr>
          <w:rFonts w:hint="eastAsia" w:ascii="宋体" w:hAnsi="宋体"/>
          <w:color w:val="000000" w:themeColor="text1"/>
          <w:sz w:val="24"/>
          <w:highlight w:val="white"/>
          <w:lang w:val="en-US" w:eastAsia="zh-CN"/>
          <w14:textFill>
            <w14:solidFill>
              <w14:schemeClr w14:val="tx1"/>
            </w14:solidFill>
          </w14:textFill>
        </w:rPr>
        <w:t xml:space="preserve">7</w:t>
      </w:r>
      <w:r>
        <w:rPr>
          <w:rFonts w:hint="eastAsia" w:ascii="宋体" w:hAnsi="宋体"/>
          <w:color w:val="000000" w:themeColor="text1"/>
          <w:sz w:val="24"/>
          <w:highlight w:val="white"/>
          <w14:textFill>
            <w14:solidFill>
              <w14:schemeClr w14:val="tx1"/>
            </w14:solidFill>
          </w14:textFill>
        </w:rPr>
        <w:t xml:space="preserve">投标人在开、评标全过程中应保持通信畅通，及时登录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查阅</w:t>
      </w:r>
      <w:r>
        <w:rPr>
          <w:rFonts w:ascii="宋体" w:hAnsi="宋体"/>
          <w:color w:val="000000" w:themeColor="text1"/>
          <w:sz w:val="24"/>
          <w:highlight w:val="white"/>
          <w14:textFill>
            <w14:solidFill>
              <w14:schemeClr w14:val="tx1"/>
            </w14:solidFill>
          </w14:textFill>
        </w:rPr>
        <w:t xml:space="preserve">、答复相关</w:t>
      </w:r>
      <w:r>
        <w:rPr>
          <w:rFonts w:hint="eastAsia" w:ascii="宋体" w:hAnsi="宋体"/>
          <w:color w:val="000000" w:themeColor="text1"/>
          <w:sz w:val="24"/>
          <w:highlight w:val="white"/>
          <w14:textFill>
            <w14:solidFill>
              <w14:schemeClr w14:val="tx1"/>
            </w14:solidFill>
          </w14:textFill>
        </w:rPr>
        <w:t xml:space="preserve">信息</w:t>
      </w:r>
      <w:r>
        <w:rPr>
          <w:rFonts w:ascii="宋体" w:hAnsi="宋体"/>
          <w:color w:val="000000" w:themeColor="text1"/>
          <w:sz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并安排专人随时接受与代理机构及评标委员会的相关询问。</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63"/>
      <w:r/>
      <w:bookmarkEnd w:id="164"/>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highlight w:val="white"/>
          <w14:textFill>
            <w14:solidFill>
              <w14:schemeClr w14:val="tx1"/>
            </w14:solidFill>
          </w14:textFill>
        </w:rPr>
      </w:pPr>
      <w:r/>
      <w:bookmarkStart w:id="166" w:name="_Toc16938551"/>
      <w:r/>
      <w:bookmarkStart w:id="167" w:name="_Toc513029235"/>
      <w:r/>
      <w:bookmarkStart w:id="168" w:name="_Toc20823307"/>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bCs/>
          <w:color w:val="000000" w:themeColor="text1"/>
          <w:sz w:val="24"/>
          <w:highlight w:val="white"/>
          <w:lang w:eastAsia="zh-CN"/>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投标文件内容不全或不符合招标文件中规定的其他实质性要求和条件的</w:t>
      </w:r>
      <w:r>
        <w:rPr>
          <w:rFonts w:hint="eastAsia" w:ascii="宋体" w:hAnsi="宋体"/>
          <w:bCs/>
          <w:color w:val="000000" w:themeColor="text1"/>
          <w:sz w:val="24"/>
          <w:szCs w:val="24"/>
          <w:highlight w:val="white"/>
          <w:lang w:eastAsia="zh-CN"/>
          <w14:textFill>
            <w14:solidFill>
              <w14:schemeClr w14:val="tx1"/>
            </w14:solidFill>
          </w14:textFill>
        </w:rPr>
        <w:t xml:space="preserve">。</w:t>
      </w:r>
      <w:r/>
    </w:p>
    <w:p>
      <w:pPr>
        <w:ind w:firstLine="480"/>
        <w:spacing w:line="500" w:lineRule="exact"/>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auto"/>
          <w:sz w:val="24"/>
          <w:highlight w:val="cyan"/>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其他法律法规及本招标文件规定的属无效投标的情形。</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26.2.1符合专业条件的供应商或者对招标文件做实质响应的供应商不足三家的。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26.2.2出现影响采购公正的违法、违规行为的。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26.2.3因重大变故，采购任务取消的。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52"/>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120614219"/>
      <w:r>
        <w:rPr>
          <w:rFonts w:hint="eastAsia"/>
          <w:color w:val="000000" w:themeColor="text1"/>
          <w:sz w:val="30"/>
          <w:szCs w:val="30"/>
          <w:highlight w:val="white"/>
          <w:lang w:eastAsia="zh-CN"/>
          <w14:textFill>
            <w14:solidFill>
              <w14:schemeClr w14:val="tx1"/>
            </w14:solidFill>
          </w14:textFill>
        </w:rPr>
        <w:t xml:space="preserve">六、</w:t>
      </w:r>
      <w:bookmarkEnd w:id="166"/>
      <w:r/>
      <w:bookmarkEnd w:id="167"/>
      <w:r/>
      <w:bookmarkEnd w:id="168"/>
      <w:r>
        <w:rPr>
          <w:rFonts w:hint="eastAsia"/>
          <w:color w:val="000000" w:themeColor="text1"/>
          <w:sz w:val="30"/>
          <w:szCs w:val="30"/>
          <w:highlight w:val="white"/>
          <w:lang w:eastAsia="zh-CN"/>
          <w14:textFill>
            <w14:solidFill>
              <w14:schemeClr w14:val="tx1"/>
            </w14:solidFill>
          </w14:textFill>
        </w:rPr>
        <w:t xml:space="preserve">定标</w:t>
      </w:r>
      <w:bookmarkEnd w:id="169"/>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70" w:name="_Toc513029238"/>
      <w:r/>
      <w:bookmarkStart w:id="171" w:name="_Toc20823310"/>
      <w:r/>
      <w:bookmarkStart w:id="172" w:name="_Toc16938554"/>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70"/>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71"/>
      <w:r/>
      <w:bookmarkEnd w:id="172"/>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73"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27.5.3不同投标人的投标文件载明的项目管理成员或者联系人员为同一人。</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73"/>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w:t>
      </w:r>
      <w:r>
        <w:rPr>
          <w:rFonts w:hint="eastAsia" w:ascii="宋体"/>
          <w:bCs/>
          <w:color w:val="000000" w:themeColor="text1"/>
          <w:sz w:val="24"/>
          <w:szCs w:val="24"/>
          <w:highlight w:val="white"/>
          <w:lang w:eastAsia="zh-CN"/>
          <w14:textFill>
            <w14:solidFill>
              <w14:schemeClr w14:val="tx1"/>
            </w14:solidFill>
          </w14:textFill>
        </w:rPr>
        <w:t xml:space="preserve">并具</w:t>
      </w:r>
      <w:r>
        <w:rPr>
          <w:rFonts w:hint="eastAsia" w:ascii="宋体"/>
          <w:bCs/>
          <w:color w:val="000000" w:themeColor="text1"/>
          <w:sz w:val="24"/>
          <w:szCs w:val="24"/>
          <w:highlight w:val="white"/>
          <w14:textFill>
            <w14:solidFill>
              <w14:schemeClr w14:val="tx1"/>
            </w14:solidFill>
          </w14:textFill>
        </w:rPr>
        <w:t xml:space="preserve">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28.5以下情形的质疑不予受理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28.5.1内容不符合《政府采购质疑和投诉办法》第十二条规定的质疑。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28.5.2超出政府采购法定期限的质疑。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28.5.3以传真、电子邮件等方式递交的非原件形式的质疑。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52"/>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74" w:name="_Toc513029236"/>
      <w:r/>
      <w:bookmarkStart w:id="175" w:name="_Toc120614220"/>
      <w:r/>
      <w:bookmarkStart w:id="176" w:name="_Toc20823308"/>
      <w:r/>
      <w:bookmarkStart w:id="177" w:name="_Toc16938552"/>
      <w:r>
        <w:rPr>
          <w:rFonts w:hint="eastAsia"/>
          <w:color w:val="000000" w:themeColor="text1"/>
          <w:sz w:val="30"/>
          <w:szCs w:val="30"/>
          <w:highlight w:val="white"/>
          <w:lang w:eastAsia="zh-CN"/>
          <w14:textFill>
            <w14:solidFill>
              <w14:schemeClr w14:val="tx1"/>
            </w14:solidFill>
          </w14:textFill>
        </w:rPr>
        <w:t xml:space="preserve">七、授予合同</w:t>
      </w:r>
      <w:bookmarkEnd w:id="174"/>
      <w:r/>
      <w:bookmarkEnd w:id="175"/>
      <w:r/>
      <w:bookmarkEnd w:id="176"/>
      <w:r/>
      <w:bookmarkEnd w:id="177"/>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78" w:name="_Toc16938553"/>
      <w:r/>
      <w:bookmarkStart w:id="179" w:name="_Toc20823309"/>
      <w:r/>
      <w:bookmarkStart w:id="180" w:name="_Toc513029237"/>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53"/>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000000" w:themeColor="text1"/>
          <w:sz w:val="24"/>
          <w:szCs w:val="24"/>
          <w:highlight w:val="white"/>
          <w:lang w:eastAsia="zh-CN"/>
          <w14:textFill>
            <w14:solidFill>
              <w14:schemeClr w14:val="tx1"/>
            </w14:solidFill>
          </w14:textFill>
        </w:rPr>
        <w:t xml:space="preserve">额的</w:t>
      </w:r>
      <w:r>
        <w:rPr>
          <w:rFonts w:hint="eastAsia" w:ascii="宋体" w:hAnsi="宋体"/>
          <w:color w:val="000000" w:themeColor="text1"/>
          <w:sz w:val="24"/>
          <w:szCs w:val="24"/>
          <w:highlight w:val="white"/>
          <w14:textFill>
            <w14:solidFill>
              <w14:schemeClr w14:val="tx1"/>
            </w14:solidFill>
          </w14:textFill>
        </w:rPr>
        <w:t xml:space="preserve">10%。</w:t>
      </w:r>
      <w:bookmarkEnd w:id="178"/>
      <w:r/>
      <w:bookmarkEnd w:id="179"/>
      <w:r/>
      <w:bookmarkEnd w:id="180"/>
      <w:r/>
      <w:r/>
    </w:p>
    <w:p>
      <w:pPr>
        <w:pStyle w:val="951"/>
        <w:jc w:val="center"/>
        <w:spacing w:line="500" w:lineRule="exact"/>
        <w:rPr>
          <w:rFonts w:ascii="黑体" w:eastAsia="黑体"/>
          <w:bCs/>
          <w:color w:val="000000" w:themeColor="text1"/>
          <w:sz w:val="36"/>
          <w:szCs w:val="36"/>
          <w:highlight w:val="none"/>
          <w:lang w:eastAsia="zh-CN"/>
          <w14:textFill>
            <w14:solidFill>
              <w14:schemeClr w14:val="tx1"/>
            </w14:solidFill>
          </w14:textFill>
        </w:rPr>
      </w:pPr>
      <w:r>
        <w:rPr>
          <w:rFonts w:ascii="宋体" w:hAnsi="宋体"/>
          <w:bCs/>
          <w:color w:val="000000" w:themeColor="text1"/>
          <w:sz w:val="24"/>
          <w:highlight w:val="non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none"/>
          <w:lang w:eastAsia="zh-CN"/>
          <w14:textFill>
            <w14:solidFill>
              <w14:schemeClr w14:val="tx1"/>
            </w14:solidFill>
          </w14:textFill>
        </w:rPr>
        <w:t xml:space="preserve">第三章  合同</w:t>
      </w:r>
      <w:bookmarkEnd w:id="51"/>
      <w:r/>
      <w:bookmarkEnd w:id="52"/>
      <w:r/>
      <w:bookmarkEnd w:id="53"/>
      <w:r/>
      <w:bookmarkEnd w:id="54"/>
      <w:r/>
      <w:bookmarkEnd w:id="55"/>
      <w:r>
        <w:rPr>
          <w:rFonts w:hint="eastAsia" w:ascii="黑体" w:eastAsia="黑体"/>
          <w:bCs/>
          <w:color w:val="000000" w:themeColor="text1"/>
          <w:sz w:val="36"/>
          <w:szCs w:val="36"/>
          <w:highlight w:val="none"/>
          <w:lang w:eastAsia="zh-CN"/>
          <w14:textFill>
            <w14:solidFill>
              <w14:schemeClr w14:val="tx1"/>
            </w14:solidFill>
          </w14:textFill>
        </w:rPr>
        <w:t xml:space="preserve">文本</w:t>
      </w:r>
      <w:r/>
    </w:p>
    <w:p>
      <w:pPr>
        <w:jc w:val="both"/>
        <w:spacing w:line="400" w:lineRule="exact"/>
        <w:widowControl w:val="off"/>
        <w:rPr>
          <w:bCs/>
          <w:sz w:val="24"/>
          <w:szCs w:val="24"/>
        </w:rPr>
      </w:pPr>
      <w:r/>
      <w:bookmarkStart w:id="181" w:name="_Hlt16619350"/>
      <w:r/>
      <w:bookmarkStart w:id="182" w:name="_Toc120614244"/>
      <w:r/>
      <w:bookmarkStart w:id="183" w:name="_Toc20823346"/>
      <w:r/>
      <w:bookmarkStart w:id="184" w:name="_Toc16938590"/>
      <w:r/>
      <w:bookmarkStart w:id="185" w:name="_Toc462564139"/>
      <w:r/>
      <w:bookmarkStart w:id="186" w:name="_Toc479757211"/>
      <w:r>
        <w:rPr>
          <w:rFonts w:hint="eastAsia"/>
          <w:bCs/>
          <w:sz w:val="24"/>
          <w:szCs w:val="24"/>
        </w:rPr>
        <w:t xml:space="preserve">项目名称：</w:t>
      </w:r>
      <w:r/>
    </w:p>
    <w:p>
      <w:pPr>
        <w:spacing w:line="400" w:lineRule="exact"/>
        <w:widowControl w:val="off"/>
        <w:rPr>
          <w:sz w:val="24"/>
          <w:szCs w:val="24"/>
        </w:rPr>
      </w:pPr>
      <w:r>
        <w:rPr>
          <w:rFonts w:hint="eastAsia"/>
          <w:sz w:val="24"/>
          <w:szCs w:val="24"/>
        </w:rPr>
        <w:t xml:space="preserve">项目编号：</w:t>
      </w:r>
      <w:r/>
    </w:p>
    <w:p>
      <w:pPr>
        <w:jc w:val="both"/>
        <w:spacing w:line="400" w:lineRule="exact"/>
        <w:widowControl w:val="off"/>
        <w:rPr>
          <w:sz w:val="24"/>
          <w:szCs w:val="24"/>
        </w:rPr>
      </w:pPr>
      <w:r>
        <w:rPr>
          <w:rFonts w:hint="eastAsia"/>
          <w:sz w:val="24"/>
          <w:szCs w:val="24"/>
        </w:rPr>
        <w:t xml:space="preserve">甲方：（采购人）_________</w:t>
      </w:r>
      <w:r/>
    </w:p>
    <w:p>
      <w:pPr>
        <w:jc w:val="both"/>
        <w:spacing w:line="400" w:lineRule="exact"/>
        <w:widowControl w:val="off"/>
        <w:rPr>
          <w:sz w:val="24"/>
          <w:szCs w:val="24"/>
        </w:rPr>
      </w:pPr>
      <w:r>
        <w:rPr>
          <w:rFonts w:hint="eastAsia"/>
          <w:sz w:val="24"/>
          <w:szCs w:val="24"/>
        </w:rPr>
        <w:t xml:space="preserve">乙方：（成交方）_________</w:t>
      </w:r>
      <w:r/>
    </w:p>
    <w:p>
      <w:pPr>
        <w:ind w:firstLine="480"/>
        <w:jc w:val="both"/>
        <w:spacing w:line="400" w:lineRule="exact"/>
        <w:widowControl w:val="off"/>
        <w:rPr>
          <w:b/>
          <w:sz w:val="24"/>
          <w:szCs w:val="24"/>
        </w:rPr>
      </w:pPr>
      <w:r>
        <w:rPr>
          <w:rFonts w:hint="eastAsia"/>
          <w:sz w:val="24"/>
          <w:szCs w:val="24"/>
        </w:rPr>
        <w:t xml:space="preserve">甲、乙双方根据无锡市卫生健康综合服务中心</w:t>
      </w:r>
      <w:r>
        <w:rPr>
          <w:rFonts w:hint="eastAsia"/>
          <w:sz w:val="24"/>
          <w:szCs w:val="24"/>
          <w:u w:val="single"/>
        </w:rPr>
        <w:t xml:space="preserve">           </w:t>
      </w:r>
      <w:r>
        <w:rPr>
          <w:rFonts w:hint="eastAsia"/>
          <w:sz w:val="24"/>
          <w:szCs w:val="24"/>
        </w:rPr>
        <w:t xml:space="preserve">项目招标的结果，签署本合同。</w:t>
      </w:r>
      <w:r/>
    </w:p>
    <w:p>
      <w:pPr>
        <w:ind w:firstLine="482"/>
        <w:jc w:val="both"/>
        <w:spacing w:line="400" w:lineRule="exact"/>
        <w:widowControl w:val="off"/>
        <w:rPr>
          <w:b/>
          <w:sz w:val="24"/>
          <w:szCs w:val="24"/>
        </w:rPr>
      </w:pPr>
      <w:r>
        <w:rPr>
          <w:rFonts w:hint="eastAsia"/>
          <w:b/>
          <w:sz w:val="24"/>
          <w:szCs w:val="24"/>
        </w:rPr>
        <w:t xml:space="preserve">一、合同内容</w:t>
      </w:r>
      <w:r/>
    </w:p>
    <w:p>
      <w:pPr>
        <w:ind w:firstLine="480"/>
        <w:jc w:val="both"/>
        <w:spacing w:line="400" w:lineRule="exact"/>
        <w:widowControl w:val="off"/>
        <w:rPr>
          <w:sz w:val="24"/>
          <w:szCs w:val="24"/>
        </w:rPr>
      </w:pPr>
      <w:r>
        <w:rPr>
          <w:rFonts w:hint="eastAsia"/>
          <w:sz w:val="24"/>
          <w:szCs w:val="24"/>
        </w:rPr>
        <w:t xml:space="preserve">1.1 采购内容：货物名称、规格型号、数量、单价、成交总价</w:t>
      </w:r>
      <w:r/>
    </w:p>
    <w:tbl>
      <w:tblPr>
        <w:tblStyle w:val="7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1417"/>
        <w:gridCol w:w="1560"/>
        <w:gridCol w:w="1417"/>
        <w:gridCol w:w="1181"/>
        <w:gridCol w:w="1421"/>
      </w:tblGrid>
      <w:tr>
        <w:trPr/>
        <w:tc>
          <w:tcPr>
            <w:tcW w:w="1526" w:type="dxa"/>
            <w:vAlign w:val="center"/>
            <w:textDirection w:val="lrTb"/>
            <w:noWrap w:val="false"/>
          </w:tcPr>
          <w:p>
            <w:pPr>
              <w:jc w:val="center"/>
              <w:spacing w:line="400" w:lineRule="exact"/>
              <w:widowControl w:val="off"/>
              <w:rPr>
                <w:sz w:val="24"/>
                <w:szCs w:val="24"/>
              </w:rPr>
            </w:pPr>
            <w:r>
              <w:rPr>
                <w:rFonts w:hint="eastAsia"/>
                <w:sz w:val="24"/>
                <w:szCs w:val="24"/>
              </w:rPr>
              <w:t xml:space="preserve">设备名称</w:t>
            </w:r>
            <w:r/>
          </w:p>
        </w:tc>
        <w:tc>
          <w:tcPr>
            <w:tcW w:w="1417" w:type="dxa"/>
            <w:vAlign w:val="center"/>
            <w:textDirection w:val="lrTb"/>
            <w:noWrap w:val="false"/>
          </w:tcPr>
          <w:p>
            <w:pPr>
              <w:jc w:val="center"/>
              <w:spacing w:line="400" w:lineRule="exact"/>
              <w:widowControl w:val="off"/>
              <w:rPr>
                <w:sz w:val="24"/>
                <w:szCs w:val="24"/>
              </w:rPr>
            </w:pPr>
            <w:r>
              <w:rPr>
                <w:rFonts w:hint="eastAsia"/>
                <w:sz w:val="24"/>
                <w:szCs w:val="24"/>
              </w:rPr>
              <w:t xml:space="preserve">生产厂家</w:t>
            </w:r>
            <w:r/>
          </w:p>
        </w:tc>
        <w:tc>
          <w:tcPr>
            <w:tcW w:w="1560" w:type="dxa"/>
            <w:vAlign w:val="center"/>
            <w:textDirection w:val="lrTb"/>
            <w:noWrap w:val="false"/>
          </w:tcPr>
          <w:p>
            <w:pPr>
              <w:jc w:val="center"/>
              <w:spacing w:line="400" w:lineRule="exact"/>
              <w:widowControl w:val="off"/>
              <w:rPr>
                <w:sz w:val="24"/>
                <w:szCs w:val="24"/>
              </w:rPr>
            </w:pPr>
            <w:r>
              <w:rPr>
                <w:rFonts w:hint="eastAsia"/>
                <w:sz w:val="24"/>
                <w:szCs w:val="24"/>
              </w:rPr>
              <w:t xml:space="preserve">规格型号</w:t>
            </w:r>
            <w:r/>
          </w:p>
        </w:tc>
        <w:tc>
          <w:tcPr>
            <w:tcW w:w="1417" w:type="dxa"/>
            <w:vAlign w:val="center"/>
            <w:textDirection w:val="lrTb"/>
            <w:noWrap w:val="false"/>
          </w:tcPr>
          <w:p>
            <w:pPr>
              <w:jc w:val="center"/>
              <w:spacing w:line="300" w:lineRule="exact"/>
              <w:widowControl w:val="off"/>
              <w:rPr>
                <w:sz w:val="24"/>
                <w:szCs w:val="24"/>
              </w:rPr>
            </w:pPr>
            <w:r>
              <w:rPr>
                <w:rFonts w:hint="eastAsia"/>
                <w:sz w:val="24"/>
                <w:szCs w:val="24"/>
              </w:rPr>
              <w:t xml:space="preserve">数量</w:t>
            </w:r>
            <w:r/>
          </w:p>
          <w:p>
            <w:pPr>
              <w:jc w:val="center"/>
              <w:spacing w:line="300" w:lineRule="exact"/>
              <w:widowControl w:val="off"/>
              <w:rPr>
                <w:sz w:val="24"/>
                <w:szCs w:val="24"/>
              </w:rPr>
            </w:pPr>
            <w:r>
              <w:rPr>
                <w:rFonts w:hint="eastAsia"/>
                <w:sz w:val="24"/>
                <w:szCs w:val="24"/>
              </w:rPr>
              <w:t xml:space="preserve">（台/套）</w:t>
            </w:r>
            <w:r/>
          </w:p>
        </w:tc>
        <w:tc>
          <w:tcPr>
            <w:tcW w:w="1181" w:type="dxa"/>
            <w:vAlign w:val="center"/>
            <w:textDirection w:val="lrTb"/>
            <w:noWrap w:val="false"/>
          </w:tcPr>
          <w:p>
            <w:pPr>
              <w:jc w:val="center"/>
              <w:spacing w:line="300" w:lineRule="exact"/>
              <w:widowControl w:val="off"/>
              <w:rPr>
                <w:sz w:val="24"/>
                <w:szCs w:val="24"/>
              </w:rPr>
            </w:pPr>
            <w:r>
              <w:rPr>
                <w:rFonts w:hint="eastAsia"/>
                <w:sz w:val="24"/>
                <w:szCs w:val="24"/>
              </w:rPr>
              <w:t xml:space="preserve">单价</w:t>
            </w:r>
            <w:r/>
          </w:p>
          <w:p>
            <w:pPr>
              <w:jc w:val="center"/>
              <w:spacing w:line="300" w:lineRule="exact"/>
              <w:widowControl w:val="off"/>
              <w:rPr>
                <w:sz w:val="24"/>
                <w:szCs w:val="24"/>
              </w:rPr>
            </w:pPr>
            <w:r>
              <w:rPr>
                <w:rFonts w:hint="eastAsia"/>
                <w:sz w:val="24"/>
                <w:szCs w:val="24"/>
              </w:rPr>
              <w:t xml:space="preserve">（元）</w:t>
            </w:r>
            <w:r/>
          </w:p>
        </w:tc>
        <w:tc>
          <w:tcPr>
            <w:tcW w:w="1421" w:type="dxa"/>
            <w:vAlign w:val="center"/>
            <w:textDirection w:val="lrTb"/>
            <w:noWrap w:val="false"/>
          </w:tcPr>
          <w:p>
            <w:pPr>
              <w:jc w:val="center"/>
              <w:spacing w:line="300" w:lineRule="exact"/>
              <w:widowControl w:val="off"/>
              <w:rPr>
                <w:sz w:val="24"/>
                <w:szCs w:val="24"/>
              </w:rPr>
            </w:pPr>
            <w:r>
              <w:rPr>
                <w:rFonts w:hint="eastAsia"/>
                <w:sz w:val="24"/>
                <w:szCs w:val="24"/>
              </w:rPr>
              <w:t xml:space="preserve">成交总价</w:t>
            </w:r>
            <w:r/>
          </w:p>
          <w:p>
            <w:pPr>
              <w:jc w:val="center"/>
              <w:spacing w:line="300" w:lineRule="exact"/>
              <w:widowControl w:val="off"/>
              <w:rPr>
                <w:sz w:val="24"/>
                <w:szCs w:val="24"/>
              </w:rPr>
            </w:pPr>
            <w:r>
              <w:rPr>
                <w:rFonts w:hint="eastAsia"/>
                <w:sz w:val="24"/>
                <w:szCs w:val="24"/>
              </w:rPr>
              <w:t xml:space="preserve">（元）</w:t>
            </w:r>
            <w:r/>
          </w:p>
        </w:tc>
      </w:tr>
      <w:tr>
        <w:trPr/>
        <w:tc>
          <w:tcPr>
            <w:tcW w:w="1526" w:type="dxa"/>
            <w:vAlign w:val="top"/>
            <w:textDirection w:val="lrTb"/>
            <w:noWrap w:val="false"/>
          </w:tcPr>
          <w:p>
            <w:pPr>
              <w:jc w:val="both"/>
              <w:spacing w:line="400" w:lineRule="exact"/>
              <w:widowControl w:val="off"/>
              <w:rPr>
                <w:sz w:val="24"/>
                <w:szCs w:val="24"/>
              </w:rPr>
            </w:pPr>
            <w:r>
              <w:rPr>
                <w:sz w:val="24"/>
                <w:szCs w:val="24"/>
              </w:rPr>
            </w:r>
            <w:r/>
          </w:p>
        </w:tc>
        <w:tc>
          <w:tcPr>
            <w:tcW w:w="1417" w:type="dxa"/>
            <w:vAlign w:val="top"/>
            <w:textDirection w:val="lrTb"/>
            <w:noWrap w:val="false"/>
          </w:tcPr>
          <w:p>
            <w:pPr>
              <w:jc w:val="both"/>
              <w:spacing w:line="400" w:lineRule="exact"/>
              <w:widowControl w:val="off"/>
              <w:rPr>
                <w:sz w:val="24"/>
                <w:szCs w:val="24"/>
              </w:rPr>
            </w:pPr>
            <w:r>
              <w:rPr>
                <w:sz w:val="24"/>
                <w:szCs w:val="24"/>
              </w:rPr>
            </w:r>
            <w:r/>
          </w:p>
        </w:tc>
        <w:tc>
          <w:tcPr>
            <w:tcW w:w="1560" w:type="dxa"/>
            <w:vAlign w:val="top"/>
            <w:textDirection w:val="lrTb"/>
            <w:noWrap w:val="false"/>
          </w:tcPr>
          <w:p>
            <w:pPr>
              <w:jc w:val="both"/>
              <w:spacing w:line="400" w:lineRule="exact"/>
              <w:widowControl w:val="off"/>
              <w:rPr>
                <w:sz w:val="24"/>
                <w:szCs w:val="24"/>
              </w:rPr>
            </w:pPr>
            <w:r>
              <w:rPr>
                <w:sz w:val="24"/>
                <w:szCs w:val="24"/>
              </w:rPr>
            </w:r>
            <w:r/>
          </w:p>
        </w:tc>
        <w:tc>
          <w:tcPr>
            <w:tcW w:w="1417" w:type="dxa"/>
            <w:vAlign w:val="top"/>
            <w:textDirection w:val="lrTb"/>
            <w:noWrap w:val="false"/>
          </w:tcPr>
          <w:p>
            <w:pPr>
              <w:jc w:val="both"/>
              <w:spacing w:line="400" w:lineRule="exact"/>
              <w:widowControl w:val="off"/>
              <w:rPr>
                <w:sz w:val="24"/>
                <w:szCs w:val="24"/>
              </w:rPr>
            </w:pPr>
            <w:r>
              <w:rPr>
                <w:sz w:val="24"/>
                <w:szCs w:val="24"/>
              </w:rPr>
            </w:r>
            <w:r/>
          </w:p>
        </w:tc>
        <w:tc>
          <w:tcPr>
            <w:tcW w:w="1181" w:type="dxa"/>
            <w:vAlign w:val="top"/>
            <w:textDirection w:val="lrTb"/>
            <w:noWrap w:val="false"/>
          </w:tcPr>
          <w:p>
            <w:pPr>
              <w:jc w:val="both"/>
              <w:spacing w:line="400" w:lineRule="exact"/>
              <w:widowControl w:val="off"/>
              <w:rPr>
                <w:sz w:val="24"/>
                <w:szCs w:val="24"/>
              </w:rPr>
            </w:pPr>
            <w:r>
              <w:rPr>
                <w:sz w:val="24"/>
                <w:szCs w:val="24"/>
              </w:rPr>
            </w:r>
            <w:r/>
          </w:p>
        </w:tc>
        <w:tc>
          <w:tcPr>
            <w:tcW w:w="1421" w:type="dxa"/>
            <w:vAlign w:val="top"/>
            <w:textDirection w:val="lrTb"/>
            <w:noWrap w:val="false"/>
          </w:tcPr>
          <w:p>
            <w:pPr>
              <w:jc w:val="both"/>
              <w:spacing w:line="400" w:lineRule="exact"/>
              <w:widowControl w:val="off"/>
              <w:rPr>
                <w:sz w:val="24"/>
                <w:szCs w:val="24"/>
              </w:rPr>
            </w:pPr>
            <w:r>
              <w:rPr>
                <w:sz w:val="24"/>
                <w:szCs w:val="24"/>
              </w:rPr>
            </w:r>
            <w:r/>
          </w:p>
        </w:tc>
      </w:tr>
      <w:tr>
        <w:trPr/>
        <w:tc>
          <w:tcPr>
            <w:gridSpan w:val="4"/>
            <w:tcW w:w="5920" w:type="dxa"/>
            <w:vAlign w:val="top"/>
            <w:textDirection w:val="lrTb"/>
            <w:noWrap w:val="false"/>
          </w:tcPr>
          <w:p>
            <w:pPr>
              <w:jc w:val="both"/>
              <w:spacing w:line="400" w:lineRule="exact"/>
              <w:widowControl w:val="off"/>
              <w:rPr>
                <w:sz w:val="24"/>
                <w:szCs w:val="24"/>
              </w:rPr>
            </w:pPr>
            <w:r>
              <w:rPr>
                <w:rFonts w:hint="eastAsia"/>
                <w:sz w:val="24"/>
                <w:szCs w:val="24"/>
              </w:rPr>
              <w:t xml:space="preserve">总计（大写）：</w:t>
            </w:r>
            <w:r/>
          </w:p>
        </w:tc>
        <w:tc>
          <w:tcPr>
            <w:gridSpan w:val="2"/>
            <w:tcW w:w="2602" w:type="dxa"/>
            <w:vAlign w:val="top"/>
            <w:textDirection w:val="lrTb"/>
            <w:noWrap w:val="false"/>
          </w:tcPr>
          <w:p>
            <w:pPr>
              <w:jc w:val="both"/>
              <w:spacing w:line="400" w:lineRule="exact"/>
              <w:widowControl w:val="off"/>
              <w:rPr>
                <w:sz w:val="24"/>
                <w:szCs w:val="24"/>
              </w:rPr>
            </w:pPr>
            <w:r>
              <w:rPr>
                <w:rFonts w:hint="eastAsia"/>
                <w:sz w:val="24"/>
                <w:szCs w:val="24"/>
              </w:rPr>
              <w:t xml:space="preserve">（小写）：</w:t>
            </w:r>
            <w:r/>
          </w:p>
        </w:tc>
      </w:tr>
    </w:tbl>
    <w:p>
      <w:pPr>
        <w:ind w:firstLine="480"/>
        <w:jc w:val="both"/>
        <w:spacing w:line="400" w:lineRule="exact"/>
        <w:widowControl w:val="off"/>
        <w:rPr>
          <w:rFonts w:hint="eastAsia"/>
          <w:color w:val="auto"/>
          <w:sz w:val="24"/>
          <w:szCs w:val="24"/>
        </w:rPr>
      </w:pPr>
      <w:r>
        <w:rPr>
          <w:rFonts w:hint="eastAsia"/>
          <w:color w:val="auto"/>
          <w:sz w:val="24"/>
          <w:szCs w:val="24"/>
        </w:rPr>
        <w:t xml:space="preserve">以上价格均为含税价格。</w:t>
      </w:r>
      <w:r/>
    </w:p>
    <w:p>
      <w:pPr>
        <w:ind w:firstLine="480"/>
        <w:jc w:val="both"/>
        <w:spacing w:line="400" w:lineRule="exact"/>
        <w:widowControl w:val="off"/>
        <w:rPr>
          <w:i/>
          <w:iCs/>
          <w:sz w:val="24"/>
          <w:szCs w:val="24"/>
        </w:rPr>
      </w:pPr>
      <w:r>
        <w:rPr>
          <w:rFonts w:hint="eastAsia"/>
          <w:sz w:val="24"/>
          <w:szCs w:val="24"/>
        </w:rPr>
        <w:t xml:space="preserve">1.2 标的质量与检验：</w:t>
      </w:r>
      <w:r>
        <w:rPr>
          <w:rFonts w:hint="eastAsia"/>
          <w:i/>
          <w:iCs/>
          <w:sz w:val="24"/>
          <w:szCs w:val="24"/>
        </w:rPr>
        <w:t xml:space="preserve"> </w:t>
      </w:r>
      <w:r/>
    </w:p>
    <w:p>
      <w:pPr>
        <w:ind w:firstLine="480"/>
        <w:jc w:val="both"/>
        <w:spacing w:line="336" w:lineRule="auto"/>
        <w:widowControl w:val="off"/>
        <w:tabs>
          <w:tab w:val="left" w:pos="525" w:leader="none"/>
          <w:tab w:val="left" w:pos="1050" w:leader="none"/>
          <w:tab w:val="left" w:pos="1155" w:leader="none"/>
        </w:tabs>
        <w:rPr>
          <w:bCs/>
          <w:sz w:val="24"/>
          <w:szCs w:val="24"/>
        </w:rPr>
      </w:pPr>
      <w:r>
        <w:rPr>
          <w:rFonts w:hint="eastAsia"/>
          <w:bCs/>
          <w:sz w:val="24"/>
          <w:szCs w:val="24"/>
        </w:rPr>
        <w:t xml:space="preserve">1.2.1乙方应严格按照招标文件的有关规定和乙方投标文件提供合格的货物及服务。</w:t>
      </w:r>
      <w:r/>
    </w:p>
    <w:p>
      <w:pPr>
        <w:ind w:firstLine="480"/>
        <w:jc w:val="both"/>
        <w:spacing w:line="336" w:lineRule="auto"/>
        <w:widowControl w:val="off"/>
        <w:tabs>
          <w:tab w:val="left" w:pos="1050" w:leader="none"/>
          <w:tab w:val="left" w:pos="1155" w:leader="none"/>
        </w:tabs>
        <w:rPr>
          <w:bCs/>
          <w:sz w:val="24"/>
          <w:szCs w:val="24"/>
        </w:rPr>
      </w:pPr>
      <w:r>
        <w:rPr>
          <w:rFonts w:hint="eastAsia"/>
          <w:bCs/>
          <w:sz w:val="24"/>
          <w:szCs w:val="24"/>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jc w:val="both"/>
        <w:spacing w:line="336" w:lineRule="auto"/>
        <w:widowControl w:val="off"/>
        <w:tabs>
          <w:tab w:val="left" w:pos="420" w:leader="none"/>
          <w:tab w:val="left" w:pos="1050" w:leader="none"/>
          <w:tab w:val="left" w:pos="1155" w:leader="none"/>
        </w:tabs>
        <w:rPr>
          <w:bCs/>
          <w:sz w:val="24"/>
          <w:szCs w:val="24"/>
        </w:rPr>
      </w:pPr>
      <w:r>
        <w:rPr>
          <w:rFonts w:hint="eastAsia"/>
          <w:bCs/>
          <w:sz w:val="24"/>
          <w:szCs w:val="24"/>
        </w:rPr>
        <w:t xml:space="preserve">1.2.3货物的到货验收包括：数量、外观、质量、性能、随机备件、装箱单、质量证书等随机资料及包装完整无破损。</w:t>
      </w:r>
      <w:r/>
    </w:p>
    <w:p>
      <w:pPr>
        <w:ind w:firstLine="480"/>
        <w:jc w:val="both"/>
        <w:spacing w:line="336" w:lineRule="auto"/>
        <w:widowControl w:val="off"/>
        <w:tabs>
          <w:tab w:val="left" w:pos="1050" w:leader="none"/>
          <w:tab w:val="left" w:pos="1155" w:leader="none"/>
        </w:tabs>
        <w:rPr>
          <w:bCs/>
          <w:sz w:val="24"/>
          <w:szCs w:val="24"/>
        </w:rPr>
      </w:pPr>
      <w:r>
        <w:rPr>
          <w:rFonts w:hint="eastAsia"/>
          <w:bCs/>
          <w:sz w:val="24"/>
          <w:szCs w:val="24"/>
        </w:rPr>
        <w:t xml:space="preserve">1.2.4货物和系统调试验收标准：按行业通行标准、厂方出厂标准、招标文件要求和甲方投标文件的承诺，并不低于国家相关标准。</w:t>
      </w:r>
      <w:r/>
    </w:p>
    <w:p>
      <w:pPr>
        <w:ind w:firstLine="480"/>
        <w:jc w:val="both"/>
        <w:spacing w:line="336" w:lineRule="auto"/>
        <w:widowControl w:val="off"/>
        <w:tabs>
          <w:tab w:val="left" w:pos="1050" w:leader="none"/>
          <w:tab w:val="left" w:pos="1155" w:leader="none"/>
        </w:tabs>
        <w:rPr>
          <w:bCs/>
          <w:sz w:val="24"/>
          <w:szCs w:val="24"/>
        </w:rPr>
      </w:pPr>
      <w:r>
        <w:rPr>
          <w:rFonts w:hint="eastAsia"/>
          <w:bCs/>
          <w:sz w:val="24"/>
          <w:szCs w:val="24"/>
        </w:rPr>
        <w:t xml:space="preserve">1.2.5货物运到甲方指定地点并经甲方验证签收后，由于甲方保管不善造成的质量问题，乙方应负责修理，但有关费用由甲方承担。</w:t>
      </w:r>
      <w:r/>
    </w:p>
    <w:p>
      <w:pPr>
        <w:ind w:firstLine="480"/>
        <w:jc w:val="both"/>
        <w:spacing w:line="336" w:lineRule="auto"/>
        <w:widowControl w:val="off"/>
        <w:tabs>
          <w:tab w:val="left" w:pos="1050" w:leader="none"/>
          <w:tab w:val="left" w:pos="1155" w:leader="none"/>
        </w:tabs>
        <w:rPr>
          <w:bCs/>
          <w:sz w:val="24"/>
          <w:szCs w:val="24"/>
        </w:rPr>
      </w:pPr>
      <w:r>
        <w:rPr>
          <w:rFonts w:hint="eastAsia"/>
          <w:bCs/>
          <w:sz w:val="24"/>
          <w:szCs w:val="24"/>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jc w:val="both"/>
        <w:spacing w:line="336" w:lineRule="auto"/>
        <w:widowControl w:val="off"/>
        <w:tabs>
          <w:tab w:val="left" w:pos="1050" w:leader="none"/>
          <w:tab w:val="left" w:pos="1155" w:leader="none"/>
        </w:tabs>
        <w:rPr>
          <w:bCs/>
          <w:sz w:val="24"/>
          <w:szCs w:val="24"/>
        </w:rPr>
      </w:pPr>
      <w:r>
        <w:rPr>
          <w:rFonts w:hint="eastAsia"/>
          <w:bCs/>
          <w:sz w:val="24"/>
          <w:szCs w:val="24"/>
        </w:rPr>
        <w:t xml:space="preserve">1.2.7甲方不得擅自变更招投标文件约定的性能、指标等相关内容，如有变更应按《中华人民共和国政府采购法》、财政部《政府采购货物和服务招标投标管理办法》的相关程序执行。</w:t>
      </w:r>
      <w:r/>
    </w:p>
    <w:p>
      <w:pPr>
        <w:ind w:firstLine="480"/>
        <w:jc w:val="both"/>
        <w:spacing w:line="400" w:lineRule="exact"/>
        <w:widowControl w:val="off"/>
        <w:rPr>
          <w:sz w:val="24"/>
          <w:szCs w:val="24"/>
        </w:rPr>
      </w:pPr>
      <w:r>
        <w:rPr>
          <w:rFonts w:hint="eastAsia"/>
          <w:sz w:val="24"/>
          <w:szCs w:val="24"/>
        </w:rPr>
        <w:t xml:space="preserve">1.3履行时间（交货或完工期限）：合同生效之日起</w:t>
      </w:r>
      <w:r>
        <w:rPr>
          <w:rFonts w:hint="eastAsia"/>
          <w:sz w:val="24"/>
          <w:szCs w:val="24"/>
          <w:u w:val="single"/>
        </w:rPr>
        <w:t xml:space="preserve">         </w:t>
      </w:r>
      <w:r>
        <w:rPr>
          <w:rFonts w:hint="eastAsia"/>
          <w:sz w:val="24"/>
          <w:szCs w:val="24"/>
        </w:rPr>
        <w:t xml:space="preserve">天内，交货并完成安装调试。</w:t>
      </w:r>
      <w:r/>
    </w:p>
    <w:p>
      <w:pPr>
        <w:ind w:firstLine="480"/>
        <w:jc w:val="both"/>
        <w:spacing w:line="400" w:lineRule="exact"/>
        <w:widowControl w:val="off"/>
        <w:rPr>
          <w:sz w:val="24"/>
          <w:szCs w:val="24"/>
        </w:rPr>
      </w:pPr>
      <w:r>
        <w:rPr>
          <w:rFonts w:hint="eastAsia"/>
          <w:sz w:val="24"/>
          <w:szCs w:val="24"/>
        </w:rPr>
        <w:t xml:space="preserve">1.4履行地点： 甲方所在地指定地点。</w:t>
      </w:r>
      <w:r/>
    </w:p>
    <w:p>
      <w:pPr>
        <w:ind w:firstLine="480"/>
        <w:jc w:val="both"/>
        <w:spacing w:line="400" w:lineRule="exact"/>
        <w:widowControl w:val="off"/>
        <w:rPr>
          <w:sz w:val="24"/>
          <w:szCs w:val="24"/>
        </w:rPr>
      </w:pPr>
      <w:r>
        <w:rPr>
          <w:rFonts w:hint="eastAsia"/>
          <w:sz w:val="24"/>
          <w:szCs w:val="24"/>
        </w:rPr>
        <w:t xml:space="preserve">1.5履行方式：由乙方负责办理运输及装卸，直接送至甲方所在地，并负责安装、调试、使用维护培训、售后服务等，所有费用由乙方承担。</w:t>
      </w:r>
      <w:r/>
    </w:p>
    <w:p>
      <w:pPr>
        <w:ind w:firstLine="480"/>
        <w:jc w:val="both"/>
        <w:spacing w:line="336" w:lineRule="auto"/>
        <w:widowControl w:val="off"/>
        <w:rPr>
          <w:bCs/>
          <w:sz w:val="24"/>
          <w:szCs w:val="24"/>
        </w:rPr>
      </w:pPr>
      <w:r>
        <w:rPr>
          <w:rFonts w:hint="eastAsia"/>
          <w:bCs/>
          <w:sz w:val="24"/>
          <w:szCs w:val="24"/>
        </w:rPr>
        <w:t xml:space="preserve">1.5.1交货条件：</w:t>
      </w:r>
      <w:r/>
    </w:p>
    <w:p>
      <w:pPr>
        <w:ind w:firstLine="480"/>
        <w:jc w:val="both"/>
        <w:spacing w:line="336" w:lineRule="auto"/>
        <w:widowControl w:val="off"/>
        <w:tabs>
          <w:tab w:val="left" w:pos="420" w:leader="none"/>
          <w:tab w:val="left" w:pos="1155" w:leader="none"/>
        </w:tabs>
        <w:rPr>
          <w:bCs/>
          <w:sz w:val="24"/>
          <w:szCs w:val="24"/>
        </w:rPr>
      </w:pPr>
      <w:r/>
      <w:bookmarkStart w:id="187" w:name="_Hlk167283710"/>
      <w:r>
        <w:rPr>
          <w:rFonts w:hint="eastAsia"/>
          <w:bCs/>
          <w:sz w:val="24"/>
          <w:szCs w:val="24"/>
        </w:rPr>
        <w:t xml:space="preserve">1.5.1.</w:t>
      </w:r>
      <w:bookmarkEnd w:id="187"/>
      <w:r>
        <w:rPr>
          <w:rFonts w:hint="eastAsia"/>
          <w:bCs/>
          <w:sz w:val="24"/>
          <w:szCs w:val="24"/>
        </w:rPr>
        <w:t xml:space="preserve">1乙方在验收时应先用信函、传真、电子邮件等书面方式通知甲方。</w:t>
      </w:r>
      <w:r/>
    </w:p>
    <w:p>
      <w:pPr>
        <w:ind w:firstLine="480"/>
        <w:jc w:val="both"/>
        <w:spacing w:line="336" w:lineRule="auto"/>
        <w:widowControl w:val="off"/>
        <w:tabs>
          <w:tab w:val="left" w:pos="1155" w:leader="none"/>
        </w:tabs>
        <w:rPr>
          <w:bCs/>
          <w:sz w:val="24"/>
          <w:szCs w:val="24"/>
        </w:rPr>
      </w:pPr>
      <w:r>
        <w:rPr>
          <w:rFonts w:hint="eastAsia"/>
          <w:bCs/>
          <w:sz w:val="24"/>
          <w:szCs w:val="24"/>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jc w:val="both"/>
        <w:spacing w:line="336" w:lineRule="auto"/>
        <w:widowControl w:val="off"/>
        <w:tabs>
          <w:tab w:val="left" w:pos="1155" w:leader="none"/>
        </w:tabs>
        <w:rPr>
          <w:bCs/>
          <w:sz w:val="24"/>
          <w:szCs w:val="24"/>
        </w:rPr>
      </w:pPr>
      <w:r>
        <w:rPr>
          <w:rFonts w:hint="eastAsia"/>
          <w:bCs/>
          <w:sz w:val="24"/>
          <w:szCs w:val="24"/>
        </w:rPr>
        <w:t xml:space="preserve">1.5.1.3货物交货时，所有货物必须带有货物质量检验合格证书、中文质保单、装箱单、中文货物安装使用说明书。其它附件所有部件必须原包装。</w:t>
      </w:r>
      <w:r/>
    </w:p>
    <w:p>
      <w:pPr>
        <w:ind w:firstLine="480"/>
        <w:jc w:val="both"/>
        <w:spacing w:line="336" w:lineRule="auto"/>
        <w:widowControl w:val="off"/>
        <w:tabs>
          <w:tab w:val="left" w:pos="1155" w:leader="none"/>
        </w:tabs>
        <w:rPr>
          <w:bCs/>
          <w:sz w:val="24"/>
          <w:szCs w:val="24"/>
        </w:rPr>
      </w:pPr>
      <w:r>
        <w:rPr>
          <w:rFonts w:hint="eastAsia"/>
          <w:bCs/>
          <w:sz w:val="24"/>
          <w:szCs w:val="24"/>
        </w:rPr>
        <w:t xml:space="preserve">1.5.1.4运输及到货地点：由乙方负责办理运输并承担所有费用，直接送到甲方指定地点，即：以合同书上的地点为准。</w:t>
      </w:r>
      <w:r/>
    </w:p>
    <w:p>
      <w:pPr>
        <w:ind w:firstLine="480"/>
        <w:jc w:val="both"/>
        <w:spacing w:line="336" w:lineRule="auto"/>
        <w:widowControl w:val="off"/>
        <w:rPr>
          <w:bCs/>
          <w:sz w:val="24"/>
          <w:szCs w:val="24"/>
        </w:rPr>
      </w:pPr>
      <w:r>
        <w:rPr>
          <w:rFonts w:hint="eastAsia"/>
          <w:bCs/>
          <w:sz w:val="24"/>
          <w:szCs w:val="24"/>
        </w:rPr>
        <w:t xml:space="preserve">1.5.2 安装调试及售后服务：</w:t>
      </w:r>
      <w:r/>
    </w:p>
    <w:p>
      <w:pPr>
        <w:ind w:firstLine="480"/>
        <w:jc w:val="both"/>
        <w:spacing w:line="336" w:lineRule="auto"/>
        <w:widowControl w:val="off"/>
        <w:tabs>
          <w:tab w:val="left" w:pos="525" w:leader="none"/>
          <w:tab w:val="left" w:pos="840" w:leader="none"/>
          <w:tab w:val="left" w:pos="945" w:leader="none"/>
          <w:tab w:val="left" w:pos="1965" w:leader="none"/>
        </w:tabs>
        <w:rPr>
          <w:bCs/>
          <w:sz w:val="24"/>
          <w:szCs w:val="24"/>
        </w:rPr>
      </w:pPr>
      <w:r/>
      <w:bookmarkStart w:id="188" w:name="_Hlk167283769"/>
      <w:r>
        <w:rPr>
          <w:rFonts w:hint="eastAsia"/>
          <w:bCs/>
          <w:sz w:val="24"/>
          <w:szCs w:val="24"/>
        </w:rPr>
        <w:t xml:space="preserve">1.5</w:t>
      </w:r>
      <w:bookmarkStart w:id="189" w:name="_Hlk167283812"/>
      <w:r>
        <w:rPr>
          <w:rFonts w:hint="eastAsia"/>
          <w:bCs/>
          <w:sz w:val="24"/>
          <w:szCs w:val="24"/>
        </w:rPr>
        <w:t xml:space="preserve">.</w:t>
      </w:r>
      <w:bookmarkEnd w:id="189"/>
      <w:r>
        <w:rPr>
          <w:rFonts w:hint="eastAsia"/>
          <w:bCs/>
          <w:sz w:val="24"/>
          <w:szCs w:val="24"/>
        </w:rPr>
        <w:t xml:space="preserve">2</w:t>
      </w:r>
      <w:bookmarkEnd w:id="188"/>
      <w:r>
        <w:rPr>
          <w:rFonts w:hint="eastAsia"/>
          <w:bCs/>
          <w:sz w:val="24"/>
          <w:szCs w:val="24"/>
        </w:rPr>
        <w:t xml:space="preserve">.1乙方负责本项目的安装和调试，并保证其提供的货物符合国家、行业、地方、招投标文件及合同规定的质量、性能和标准，并正确且安全地安装。</w:t>
      </w:r>
      <w:r/>
    </w:p>
    <w:p>
      <w:pPr>
        <w:ind w:firstLine="480"/>
        <w:jc w:val="both"/>
        <w:spacing w:line="336" w:lineRule="auto"/>
        <w:widowControl w:val="off"/>
        <w:tabs>
          <w:tab w:val="left" w:pos="525" w:leader="none"/>
          <w:tab w:val="left" w:pos="840" w:leader="none"/>
          <w:tab w:val="left" w:pos="945" w:leader="none"/>
          <w:tab w:val="left" w:pos="1050" w:leader="none"/>
          <w:tab w:val="left" w:pos="1965" w:leader="none"/>
        </w:tabs>
        <w:rPr>
          <w:bCs/>
          <w:sz w:val="24"/>
          <w:szCs w:val="24"/>
        </w:rPr>
      </w:pPr>
      <w:r>
        <w:rPr>
          <w:rFonts w:hint="eastAsia"/>
          <w:bCs/>
          <w:sz w:val="24"/>
          <w:szCs w:val="24"/>
        </w:rPr>
        <w:t xml:space="preserve">1.5.2.2乙方提供的服务全部按照国家有关法律法规规章和“三包”规定以及按招标文件要求和乙方投标文件中的承诺执行。</w:t>
      </w:r>
      <w:r/>
    </w:p>
    <w:p>
      <w:pPr>
        <w:ind w:firstLine="480"/>
        <w:jc w:val="both"/>
        <w:spacing w:line="336" w:lineRule="auto"/>
        <w:widowControl w:val="off"/>
        <w:tabs>
          <w:tab w:val="left" w:pos="525" w:leader="none"/>
          <w:tab w:val="left" w:pos="840" w:leader="none"/>
          <w:tab w:val="left" w:pos="945" w:leader="none"/>
          <w:tab w:val="left" w:pos="1050" w:leader="none"/>
          <w:tab w:val="left" w:pos="1965" w:leader="none"/>
        </w:tabs>
        <w:rPr>
          <w:bCs/>
          <w:sz w:val="24"/>
          <w:szCs w:val="24"/>
        </w:rPr>
      </w:pPr>
      <w:r>
        <w:rPr>
          <w:rFonts w:hint="eastAsia"/>
          <w:bCs/>
          <w:sz w:val="24"/>
          <w:szCs w:val="24"/>
        </w:rPr>
        <w:t xml:space="preserve">1.5.2.3质保期后的货物维护由双方协商再定。</w:t>
      </w:r>
      <w:r/>
    </w:p>
    <w:p>
      <w:pPr>
        <w:ind w:firstLine="480"/>
        <w:jc w:val="both"/>
        <w:spacing w:line="336" w:lineRule="auto"/>
        <w:widowControl w:val="off"/>
        <w:tabs>
          <w:tab w:val="left" w:pos="525" w:leader="none"/>
          <w:tab w:val="left" w:pos="840" w:leader="none"/>
          <w:tab w:val="left" w:pos="945" w:leader="none"/>
          <w:tab w:val="left" w:pos="1050" w:leader="none"/>
          <w:tab w:val="left" w:pos="1965" w:leader="none"/>
        </w:tabs>
        <w:rPr>
          <w:bCs/>
          <w:sz w:val="24"/>
          <w:szCs w:val="24"/>
        </w:rPr>
      </w:pPr>
      <w:r>
        <w:rPr>
          <w:rFonts w:hint="eastAsia"/>
          <w:bCs/>
          <w:sz w:val="24"/>
          <w:szCs w:val="24"/>
        </w:rPr>
        <w:t xml:space="preserve">1.5.2.4甲方应向乙方现场调试的技术人员及维修人员提供方便条件，有关费用由乙方负责。</w:t>
      </w:r>
      <w:r/>
    </w:p>
    <w:p>
      <w:pPr>
        <w:ind w:firstLine="480"/>
        <w:jc w:val="both"/>
        <w:spacing w:line="336" w:lineRule="auto"/>
        <w:widowControl w:val="off"/>
        <w:tabs>
          <w:tab w:val="left" w:pos="525" w:leader="none"/>
          <w:tab w:val="left" w:pos="840" w:leader="none"/>
          <w:tab w:val="left" w:pos="945" w:leader="none"/>
          <w:tab w:val="left" w:pos="1050" w:leader="none"/>
          <w:tab w:val="left" w:pos="1965" w:leader="none"/>
        </w:tabs>
        <w:rPr>
          <w:bCs/>
          <w:sz w:val="24"/>
          <w:szCs w:val="24"/>
        </w:rPr>
      </w:pPr>
      <w:r>
        <w:rPr>
          <w:rFonts w:hint="eastAsia"/>
          <w:bCs/>
          <w:sz w:val="24"/>
          <w:szCs w:val="24"/>
        </w:rPr>
        <w:t xml:space="preserve">1.5.2.5甲方如要求乙方提供招标文件及乙方投标文件以外的其它服务，其费用另定。</w:t>
      </w:r>
      <w:r/>
    </w:p>
    <w:p>
      <w:pPr>
        <w:ind w:firstLine="480"/>
        <w:jc w:val="both"/>
        <w:spacing w:line="336" w:lineRule="auto"/>
        <w:widowControl w:val="off"/>
        <w:tabs>
          <w:tab w:val="left" w:pos="525" w:leader="none"/>
          <w:tab w:val="left" w:pos="840" w:leader="none"/>
          <w:tab w:val="left" w:pos="945" w:leader="none"/>
          <w:tab w:val="left" w:pos="1050" w:leader="none"/>
          <w:tab w:val="left" w:pos="1965" w:leader="none"/>
        </w:tabs>
        <w:rPr>
          <w:bCs/>
          <w:sz w:val="24"/>
          <w:szCs w:val="24"/>
        </w:rPr>
      </w:pPr>
      <w:r>
        <w:rPr>
          <w:rFonts w:hint="eastAsia"/>
          <w:bCs/>
          <w:sz w:val="24"/>
          <w:szCs w:val="24"/>
        </w:rPr>
        <w:t xml:space="preserve">1.5.2.</w:t>
      </w:r>
      <w:r>
        <w:rPr>
          <w:rFonts w:hint="eastAsia"/>
          <w:sz w:val="24"/>
          <w:szCs w:val="24"/>
          <w:shd w:val="clear" w:color="auto" w:fill="ffffff"/>
          <w:lang w:bidi="ar"/>
        </w:rPr>
        <w:t xml:space="preserve">6乙方承诺免费开放该设备的所有数字化接口，并由乙方配合与医院信息系统相连接。乙方承诺该设备软件终身免费升级。</w:t>
      </w:r>
      <w:r/>
    </w:p>
    <w:p>
      <w:pPr>
        <w:ind w:firstLine="480"/>
        <w:jc w:val="both"/>
        <w:spacing w:line="400" w:lineRule="exact"/>
        <w:widowControl w:val="off"/>
        <w:rPr>
          <w:sz w:val="24"/>
          <w:szCs w:val="24"/>
        </w:rPr>
      </w:pPr>
      <w:r>
        <w:rPr>
          <w:rFonts w:hint="eastAsia"/>
          <w:sz w:val="24"/>
          <w:szCs w:val="24"/>
        </w:rPr>
        <w:t xml:space="preserve">1.6 包装方式：</w:t>
      </w:r>
      <w:r>
        <w:rPr>
          <w:rFonts w:hint="eastAsia"/>
          <w:iCs/>
          <w:sz w:val="24"/>
          <w:szCs w:val="24"/>
          <w:u w:val="single"/>
        </w:rPr>
        <w:t xml:space="preserve">箱板包装。</w:t>
      </w:r>
      <w:r/>
    </w:p>
    <w:p>
      <w:pPr>
        <w:ind w:firstLine="482"/>
        <w:jc w:val="both"/>
        <w:spacing w:line="400" w:lineRule="exact"/>
        <w:widowControl w:val="off"/>
        <w:rPr>
          <w:b/>
          <w:sz w:val="24"/>
          <w:szCs w:val="24"/>
        </w:rPr>
      </w:pPr>
      <w:r>
        <w:rPr>
          <w:rFonts w:hint="eastAsia"/>
          <w:b/>
          <w:sz w:val="24"/>
          <w:szCs w:val="24"/>
        </w:rPr>
        <w:t xml:space="preserve">二、合同金额</w:t>
      </w:r>
      <w:r/>
    </w:p>
    <w:p>
      <w:pPr>
        <w:ind w:firstLine="480"/>
        <w:jc w:val="both"/>
        <w:spacing w:line="400" w:lineRule="exact"/>
        <w:widowControl w:val="off"/>
        <w:rPr>
          <w:sz w:val="24"/>
          <w:szCs w:val="24"/>
        </w:rPr>
      </w:pPr>
      <w:r>
        <w:rPr>
          <w:rFonts w:hint="eastAsia"/>
          <w:sz w:val="24"/>
          <w:szCs w:val="24"/>
        </w:rPr>
        <w:t xml:space="preserve">2.1本合同金额为（大写）： _____________圆（______元）人民币。</w:t>
      </w:r>
      <w:r/>
    </w:p>
    <w:p>
      <w:pPr>
        <w:ind w:firstLine="482"/>
        <w:jc w:val="both"/>
        <w:spacing w:line="400" w:lineRule="exact"/>
        <w:widowControl w:val="off"/>
        <w:rPr>
          <w:b/>
          <w:sz w:val="24"/>
          <w:szCs w:val="24"/>
        </w:rPr>
      </w:pPr>
      <w:r>
        <w:rPr>
          <w:rFonts w:hint="eastAsia"/>
          <w:b/>
          <w:sz w:val="24"/>
          <w:szCs w:val="24"/>
        </w:rPr>
        <w:t xml:space="preserve">三、技术资料</w:t>
      </w:r>
      <w:r/>
    </w:p>
    <w:p>
      <w:pPr>
        <w:ind w:firstLine="480"/>
        <w:jc w:val="both"/>
        <w:spacing w:line="400" w:lineRule="exact"/>
        <w:widowControl w:val="off"/>
        <w:rPr>
          <w:sz w:val="24"/>
          <w:szCs w:val="24"/>
        </w:rPr>
      </w:pPr>
      <w:r>
        <w:rPr>
          <w:rFonts w:hint="eastAsia"/>
          <w:sz w:val="24"/>
          <w:szCs w:val="24"/>
        </w:rPr>
        <w:t xml:space="preserve">3.1乙方应按招标文件规定的时间向甲方提供使用货物（包含与货物相关的服务）的有关技术资料。</w:t>
      </w:r>
      <w:r/>
    </w:p>
    <w:p>
      <w:pPr>
        <w:ind w:firstLine="480"/>
        <w:jc w:val="both"/>
        <w:spacing w:line="400" w:lineRule="exact"/>
        <w:widowControl w:val="off"/>
        <w:rPr>
          <w:sz w:val="24"/>
          <w:szCs w:val="24"/>
        </w:rPr>
      </w:pPr>
      <w:r>
        <w:rPr>
          <w:rFonts w:hint="eastAsia"/>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both"/>
        <w:spacing w:line="400" w:lineRule="exact"/>
        <w:widowControl w:val="off"/>
        <w:rPr>
          <w:b/>
          <w:sz w:val="24"/>
          <w:szCs w:val="24"/>
        </w:rPr>
      </w:pPr>
      <w:r>
        <w:rPr>
          <w:rFonts w:hint="eastAsia"/>
          <w:b/>
          <w:sz w:val="24"/>
          <w:szCs w:val="24"/>
        </w:rPr>
        <w:t xml:space="preserve">四、知识产权</w:t>
      </w:r>
      <w:r/>
    </w:p>
    <w:p>
      <w:pPr>
        <w:ind w:firstLine="480"/>
        <w:jc w:val="both"/>
        <w:spacing w:line="400" w:lineRule="exact"/>
        <w:widowControl w:val="off"/>
        <w:rPr>
          <w:sz w:val="24"/>
          <w:szCs w:val="24"/>
        </w:rPr>
      </w:pPr>
      <w:r>
        <w:rPr>
          <w:rFonts w:hint="eastAsia"/>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jc w:val="both"/>
        <w:spacing w:line="400" w:lineRule="exact"/>
        <w:widowControl w:val="off"/>
        <w:rPr>
          <w:sz w:val="24"/>
          <w:szCs w:val="24"/>
        </w:rPr>
      </w:pPr>
      <w:r>
        <w:rPr>
          <w:rFonts w:hint="eastAsia"/>
          <w:sz w:val="24"/>
          <w:szCs w:val="24"/>
        </w:rPr>
        <w:t xml:space="preserve">（注：采购项目如涉及采购标的的知识产权归属、处理的，如订购、设计、定制开发的信息化建设项目等，应当约定知识产权的归属和处理方式）</w:t>
      </w:r>
      <w:r/>
    </w:p>
    <w:p>
      <w:pPr>
        <w:ind w:firstLine="482"/>
        <w:jc w:val="both"/>
        <w:spacing w:line="400" w:lineRule="exact"/>
        <w:widowControl w:val="off"/>
        <w:rPr>
          <w:sz w:val="24"/>
          <w:szCs w:val="24"/>
          <w:u w:val="single"/>
        </w:rPr>
      </w:pPr>
      <w:r>
        <w:rPr>
          <w:rFonts w:hint="eastAsia"/>
          <w:b/>
          <w:sz w:val="24"/>
          <w:szCs w:val="24"/>
        </w:rPr>
        <w:t xml:space="preserve">五、产权担保</w:t>
      </w:r>
      <w:r/>
    </w:p>
    <w:p>
      <w:pPr>
        <w:ind w:firstLine="480"/>
        <w:jc w:val="both"/>
        <w:spacing w:line="400" w:lineRule="exact"/>
        <w:widowControl w:val="off"/>
        <w:rPr>
          <w:sz w:val="24"/>
          <w:szCs w:val="24"/>
          <w:u w:val="single"/>
        </w:rPr>
      </w:pPr>
      <w:r>
        <w:rPr>
          <w:rFonts w:hint="eastAsia"/>
          <w:sz w:val="24"/>
          <w:szCs w:val="24"/>
        </w:rPr>
        <w:t xml:space="preserve">5.1 乙方保证所交付的货物（包含与货物相关的服务）的所有权完全属于乙方且无任何抵押、查封等产权瑕疵。</w:t>
      </w:r>
      <w:r/>
    </w:p>
    <w:p>
      <w:pPr>
        <w:ind w:firstLine="482"/>
        <w:jc w:val="both"/>
        <w:spacing w:line="400" w:lineRule="exact"/>
        <w:widowControl w:val="off"/>
        <w:rPr>
          <w:b/>
          <w:sz w:val="24"/>
          <w:szCs w:val="24"/>
        </w:rPr>
      </w:pPr>
      <w:r>
        <w:rPr>
          <w:rFonts w:hint="eastAsia"/>
          <w:b/>
          <w:sz w:val="24"/>
          <w:szCs w:val="24"/>
        </w:rPr>
        <w:t xml:space="preserve">六、履约保证金</w:t>
      </w:r>
      <w:r/>
    </w:p>
    <w:p>
      <w:pPr>
        <w:ind w:firstLine="482"/>
        <w:jc w:val="both"/>
        <w:spacing w:line="400" w:lineRule="exact"/>
        <w:widowControl w:val="off"/>
        <w:rPr>
          <w:rFonts w:hint="eastAsia"/>
          <w:sz w:val="24"/>
          <w:szCs w:val="24"/>
        </w:rPr>
      </w:pPr>
      <w:r>
        <w:rPr>
          <w:rFonts w:hint="eastAsia"/>
          <w:sz w:val="24"/>
          <w:szCs w:val="24"/>
        </w:rPr>
        <w:t xml:space="preserve">不再收取履约保证金。</w:t>
      </w:r>
      <w:r/>
    </w:p>
    <w:p>
      <w:pPr>
        <w:ind w:firstLine="482"/>
        <w:jc w:val="both"/>
        <w:spacing w:line="400" w:lineRule="exact"/>
        <w:widowControl w:val="off"/>
        <w:rPr>
          <w:b/>
          <w:sz w:val="24"/>
          <w:szCs w:val="24"/>
        </w:rPr>
      </w:pPr>
      <w:r>
        <w:rPr>
          <w:rFonts w:hint="eastAsia"/>
          <w:b/>
          <w:sz w:val="24"/>
          <w:szCs w:val="24"/>
        </w:rPr>
        <w:t xml:space="preserve">七、合同转包或分包</w:t>
      </w:r>
      <w:r/>
    </w:p>
    <w:p>
      <w:pPr>
        <w:ind w:firstLine="480"/>
        <w:jc w:val="both"/>
        <w:spacing w:line="400" w:lineRule="exact"/>
        <w:widowControl w:val="off"/>
        <w:rPr>
          <w:sz w:val="24"/>
          <w:szCs w:val="24"/>
        </w:rPr>
      </w:pPr>
      <w:r>
        <w:rPr>
          <w:rFonts w:hint="eastAsia"/>
          <w:sz w:val="24"/>
          <w:szCs w:val="24"/>
        </w:rPr>
        <w:t xml:space="preserve">7.1乙方不得将合同标的转包给他人履行。</w:t>
      </w:r>
      <w:r/>
    </w:p>
    <w:p>
      <w:pPr>
        <w:ind w:firstLine="480"/>
        <w:jc w:val="both"/>
        <w:spacing w:line="400" w:lineRule="exact"/>
        <w:widowControl w:val="off"/>
        <w:rPr>
          <w:sz w:val="24"/>
          <w:szCs w:val="24"/>
        </w:rPr>
      </w:pPr>
      <w:r>
        <w:rPr>
          <w:rFonts w:hint="eastAsia"/>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jc w:val="both"/>
        <w:spacing w:line="400" w:lineRule="exact"/>
        <w:widowControl w:val="off"/>
        <w:rPr>
          <w:sz w:val="24"/>
          <w:szCs w:val="24"/>
        </w:rPr>
      </w:pPr>
      <w:r>
        <w:rPr>
          <w:rFonts w:hint="eastAsia"/>
          <w:sz w:val="24"/>
          <w:szCs w:val="24"/>
        </w:rPr>
        <w:t xml:space="preserve">7.3乙方如有转包或未经甲方同意的分包行为，甲方有权给予终止合同。</w:t>
      </w:r>
      <w:r/>
    </w:p>
    <w:p>
      <w:pPr>
        <w:ind w:firstLine="482"/>
        <w:jc w:val="both"/>
        <w:spacing w:line="400" w:lineRule="exact"/>
        <w:widowControl w:val="off"/>
        <w:rPr>
          <w:b/>
          <w:sz w:val="24"/>
          <w:szCs w:val="24"/>
        </w:rPr>
      </w:pPr>
      <w:r>
        <w:rPr>
          <w:rFonts w:hint="eastAsia"/>
          <w:b/>
          <w:sz w:val="24"/>
          <w:szCs w:val="24"/>
        </w:rPr>
        <w:t xml:space="preserve">八、合同款项支付</w:t>
      </w:r>
      <w:r/>
    </w:p>
    <w:p>
      <w:pPr>
        <w:ind w:firstLine="480"/>
        <w:jc w:val="both"/>
        <w:spacing w:line="400" w:lineRule="exact"/>
        <w:widowControl w:val="off"/>
        <w:rPr>
          <w:bCs/>
          <w:sz w:val="24"/>
          <w:szCs w:val="24"/>
        </w:rPr>
      </w:pPr>
      <w:r>
        <w:rPr>
          <w:rFonts w:hint="eastAsia"/>
          <w:bCs/>
          <w:sz w:val="24"/>
          <w:szCs w:val="24"/>
        </w:rPr>
        <w:t xml:space="preserve">8.1合同款项的支付方式及进度安排</w:t>
      </w:r>
      <w:r/>
    </w:p>
    <w:p>
      <w:pPr>
        <w:ind w:firstLine="480"/>
        <w:jc w:val="both"/>
        <w:spacing w:line="400" w:lineRule="exact"/>
        <w:widowControl w:val="off"/>
        <w:rPr>
          <w:rFonts w:hint="eastAsia"/>
          <w:color w:val="auto"/>
          <w:sz w:val="24"/>
          <w:szCs w:val="24"/>
          <w:highlight w:val="none"/>
        </w:rPr>
      </w:pPr>
      <w:r>
        <w:rPr>
          <w:rFonts w:hint="eastAsia"/>
          <w:color w:val="auto"/>
          <w:sz w:val="24"/>
          <w:szCs w:val="24"/>
          <w:highlight w:val="none"/>
        </w:rPr>
        <w:t xml:space="preserve">合同签订后30日内预支付合同金额的30%；产品验收通过，正常使用6个月后30日内，采购人收到发票后，支付合同金额的60%；产品正常使用12个月后30日内，进行最终验收，运行稳定且培训合格，支付合同金额的10%。 </w:t>
      </w:r>
      <w:r/>
    </w:p>
    <w:p>
      <w:pPr>
        <w:ind w:firstLine="480"/>
        <w:jc w:val="both"/>
        <w:spacing w:line="400" w:lineRule="exact"/>
        <w:widowControl w:val="off"/>
        <w:rPr>
          <w:rFonts w:hint="eastAsia"/>
          <w:color w:val="auto"/>
          <w:sz w:val="24"/>
          <w:szCs w:val="24"/>
          <w:highlight w:val="none"/>
        </w:rPr>
      </w:pPr>
      <w:r>
        <w:rPr>
          <w:rFonts w:hint="eastAsia"/>
          <w:color w:val="auto"/>
          <w:sz w:val="24"/>
          <w:szCs w:val="24"/>
          <w:highlight w:val="none"/>
        </w:rPr>
        <w:t xml:space="preserve">如果中标人为中小企业，按《保障中小企业款项支付条例》(国令第802号)相关要求执行。</w:t>
      </w:r>
      <w:r/>
    </w:p>
    <w:p>
      <w:pPr>
        <w:ind w:firstLine="480"/>
        <w:jc w:val="both"/>
        <w:spacing w:line="400" w:lineRule="exact"/>
        <w:widowControl w:val="off"/>
        <w:rPr>
          <w:sz w:val="24"/>
          <w:szCs w:val="24"/>
        </w:rPr>
      </w:pPr>
      <w:r>
        <w:rPr>
          <w:rFonts w:hint="eastAsia"/>
          <w:bCs/>
          <w:sz w:val="24"/>
          <w:szCs w:val="24"/>
        </w:rPr>
        <w:t xml:space="preserve">8.2</w:t>
      </w:r>
      <w:r>
        <w:rPr>
          <w:rFonts w:hint="eastAsia"/>
          <w:sz w:val="24"/>
          <w:szCs w:val="24"/>
        </w:rPr>
        <w:t xml:space="preserve">当采购数量与实际使用数量不一致时，乙方应根据实际使用量供货，合同的最终结算金额按实际使用量乘以成交单价进行计算。</w:t>
      </w:r>
      <w:r/>
    </w:p>
    <w:p>
      <w:pPr>
        <w:ind w:firstLine="482"/>
        <w:jc w:val="both"/>
        <w:spacing w:line="400" w:lineRule="exact"/>
        <w:widowControl w:val="off"/>
        <w:rPr>
          <w:b/>
          <w:sz w:val="24"/>
          <w:szCs w:val="24"/>
        </w:rPr>
      </w:pPr>
      <w:r>
        <w:rPr>
          <w:rFonts w:hint="eastAsia"/>
          <w:b/>
          <w:sz w:val="24"/>
          <w:szCs w:val="24"/>
        </w:rPr>
        <w:t xml:space="preserve">九、税费</w:t>
      </w:r>
      <w:r/>
    </w:p>
    <w:p>
      <w:pPr>
        <w:ind w:firstLine="480"/>
        <w:jc w:val="both"/>
        <w:spacing w:line="400" w:lineRule="exact"/>
        <w:widowControl w:val="off"/>
        <w:rPr>
          <w:sz w:val="24"/>
          <w:szCs w:val="24"/>
        </w:rPr>
      </w:pPr>
      <w:r>
        <w:rPr>
          <w:rFonts w:hint="eastAsia"/>
          <w:sz w:val="24"/>
          <w:szCs w:val="24"/>
        </w:rPr>
        <w:t xml:space="preserve">9.1本合同执行中相关的一切税费均由乙方负担。</w:t>
      </w:r>
      <w:r/>
    </w:p>
    <w:p>
      <w:pPr>
        <w:ind w:firstLine="482"/>
        <w:jc w:val="both"/>
        <w:spacing w:line="400" w:lineRule="exact"/>
        <w:widowControl w:val="off"/>
        <w:rPr>
          <w:sz w:val="24"/>
          <w:szCs w:val="24"/>
        </w:rPr>
      </w:pPr>
      <w:r>
        <w:rPr>
          <w:rFonts w:hint="eastAsia"/>
          <w:b/>
          <w:sz w:val="24"/>
          <w:szCs w:val="24"/>
        </w:rPr>
        <w:t xml:space="preserve">十、质量保修范围和保修期及售后服务</w:t>
      </w:r>
      <w:r/>
    </w:p>
    <w:p>
      <w:pPr>
        <w:ind w:firstLine="480"/>
        <w:jc w:val="both"/>
        <w:spacing w:line="400" w:lineRule="exact"/>
        <w:widowControl w:val="off"/>
        <w:rPr>
          <w:sz w:val="24"/>
          <w:szCs w:val="24"/>
        </w:rPr>
      </w:pPr>
      <w:r>
        <w:rPr>
          <w:rFonts w:hint="eastAsia"/>
          <w:sz w:val="24"/>
          <w:szCs w:val="24"/>
        </w:rPr>
        <w:t xml:space="preserve">10.1乙方应按招标文件规定的货物性能、技术要求、质量标准向甲方提供未经使用的全新产品。</w:t>
      </w:r>
      <w:r/>
    </w:p>
    <w:p>
      <w:pPr>
        <w:ind w:firstLine="480"/>
        <w:jc w:val="both"/>
        <w:spacing w:line="400" w:lineRule="exact"/>
        <w:widowControl w:val="off"/>
        <w:rPr>
          <w:sz w:val="24"/>
          <w:szCs w:val="24"/>
        </w:rPr>
      </w:pPr>
      <w:r>
        <w:rPr>
          <w:rFonts w:hint="eastAsia"/>
          <w:sz w:val="24"/>
          <w:szCs w:val="24"/>
        </w:rPr>
        <w:t xml:space="preserve">10.2乙方提供的货物在质量期内因货物本身的质量问题发生故障，乙方应负责免费更换。对达不到技术要求者，根据实际情况，经双方协商，可按以下办法处理：</w:t>
      </w:r>
      <w:r/>
    </w:p>
    <w:p>
      <w:pPr>
        <w:ind w:firstLine="480"/>
        <w:jc w:val="both"/>
        <w:spacing w:line="400" w:lineRule="exact"/>
        <w:widowControl w:val="off"/>
        <w:rPr>
          <w:sz w:val="24"/>
          <w:szCs w:val="24"/>
        </w:rPr>
      </w:pPr>
      <w:r>
        <w:rPr>
          <w:rFonts w:hint="eastAsia"/>
          <w:sz w:val="24"/>
          <w:szCs w:val="24"/>
        </w:rPr>
        <w:t xml:space="preserve">⑴更换：由乙方承担所发生的全部费用。</w:t>
      </w:r>
      <w:r/>
    </w:p>
    <w:p>
      <w:pPr>
        <w:ind w:firstLine="480"/>
        <w:jc w:val="both"/>
        <w:spacing w:line="400" w:lineRule="exact"/>
        <w:widowControl w:val="off"/>
        <w:rPr>
          <w:sz w:val="24"/>
          <w:szCs w:val="24"/>
        </w:rPr>
      </w:pPr>
      <w:r>
        <w:rPr>
          <w:rFonts w:hint="eastAsia"/>
          <w:sz w:val="24"/>
          <w:szCs w:val="24"/>
        </w:rPr>
        <w:t xml:space="preserve">⑵贬值处理：由甲乙双方合议定价。</w:t>
      </w:r>
      <w:r/>
    </w:p>
    <w:p>
      <w:pPr>
        <w:ind w:firstLine="480"/>
        <w:jc w:val="both"/>
        <w:spacing w:line="400" w:lineRule="exact"/>
        <w:widowControl w:val="off"/>
        <w:rPr>
          <w:sz w:val="24"/>
          <w:szCs w:val="24"/>
        </w:rPr>
      </w:pPr>
      <w:r>
        <w:rPr>
          <w:rFonts w:hint="eastAsia"/>
          <w:sz w:val="24"/>
          <w:szCs w:val="24"/>
        </w:rPr>
        <w:t xml:space="preserve">⑶退货处理：乙方应退还甲方支付的合同款，同时应承担该货物的直接费用（运输、保险、检验、货款利息及银行手续费等）。</w:t>
      </w:r>
      <w:r/>
    </w:p>
    <w:p>
      <w:pPr>
        <w:ind w:firstLine="480"/>
        <w:jc w:val="both"/>
        <w:spacing w:line="400" w:lineRule="exact"/>
        <w:widowControl w:val="off"/>
        <w:rPr>
          <w:sz w:val="24"/>
          <w:szCs w:val="24"/>
        </w:rPr>
      </w:pPr>
      <w:r>
        <w:rPr>
          <w:rFonts w:hint="eastAsia"/>
          <w:sz w:val="24"/>
          <w:szCs w:val="24"/>
        </w:rPr>
        <w:t xml:space="preserve">10.3如在使用过程中发生质量问题，乙方在接到甲方通知后在_________小时内到达甲方现场。</w:t>
      </w:r>
      <w:r/>
    </w:p>
    <w:p>
      <w:pPr>
        <w:ind w:firstLine="480"/>
        <w:jc w:val="both"/>
        <w:spacing w:line="400" w:lineRule="exact"/>
        <w:widowControl w:val="off"/>
        <w:rPr>
          <w:sz w:val="24"/>
          <w:szCs w:val="24"/>
        </w:rPr>
      </w:pPr>
      <w:r>
        <w:rPr>
          <w:rFonts w:hint="eastAsia"/>
          <w:sz w:val="24"/>
          <w:szCs w:val="24"/>
        </w:rPr>
        <w:t xml:space="preserve">10.4在质保期内，乙方应对货物出现的质量及安全问题负责处理解决并承担一切费用。</w:t>
      </w:r>
      <w:r/>
    </w:p>
    <w:p>
      <w:pPr>
        <w:ind w:firstLine="480"/>
        <w:jc w:val="both"/>
        <w:spacing w:line="400" w:lineRule="exact"/>
        <w:widowControl w:val="off"/>
        <w:rPr>
          <w:sz w:val="24"/>
          <w:szCs w:val="24"/>
        </w:rPr>
      </w:pPr>
      <w:r>
        <w:rPr>
          <w:rFonts w:hint="eastAsia"/>
          <w:sz w:val="24"/>
          <w:szCs w:val="24"/>
        </w:rPr>
        <w:t xml:space="preserve">10.5上述的货物免费保修期为</w:t>
      </w:r>
      <w:r>
        <w:rPr>
          <w:rFonts w:hint="eastAsia"/>
          <w:sz w:val="24"/>
          <w:szCs w:val="24"/>
          <w:u w:val="single"/>
        </w:rPr>
        <w:t xml:space="preserve">     </w:t>
      </w:r>
      <w:r>
        <w:rPr>
          <w:rFonts w:hint="eastAsia"/>
          <w:sz w:val="24"/>
          <w:szCs w:val="24"/>
        </w:rPr>
        <w:t xml:space="preserve">年（自交货验收合格之日起计），因人为因素出现的故障不在免费保修范围内。超过保修期的机器设备，终身维修，维修时只收部件成本费。</w:t>
      </w:r>
      <w:r/>
    </w:p>
    <w:p>
      <w:pPr>
        <w:ind w:firstLine="482"/>
        <w:jc w:val="both"/>
        <w:spacing w:line="400" w:lineRule="exact"/>
        <w:widowControl w:val="off"/>
        <w:rPr>
          <w:b/>
          <w:sz w:val="24"/>
          <w:szCs w:val="24"/>
        </w:rPr>
      </w:pPr>
      <w:r>
        <w:rPr>
          <w:rFonts w:hint="eastAsia"/>
          <w:b/>
          <w:sz w:val="24"/>
          <w:szCs w:val="24"/>
        </w:rPr>
        <w:t xml:space="preserve">十一、项目验收</w:t>
      </w:r>
      <w:r/>
    </w:p>
    <w:p>
      <w:pPr>
        <w:ind w:firstLine="480"/>
        <w:jc w:val="both"/>
        <w:spacing w:line="400" w:lineRule="exact"/>
        <w:widowControl w:val="off"/>
        <w:rPr>
          <w:sz w:val="24"/>
          <w:szCs w:val="24"/>
        </w:rPr>
      </w:pPr>
      <w:r>
        <w:rPr>
          <w:rFonts w:hint="eastAsia"/>
          <w:sz w:val="24"/>
          <w:szCs w:val="24"/>
        </w:rPr>
        <w:t xml:space="preserve">11.1甲方依法组织履约验收工作。</w:t>
      </w:r>
      <w:r/>
    </w:p>
    <w:p>
      <w:pPr>
        <w:ind w:firstLine="480"/>
        <w:jc w:val="both"/>
        <w:spacing w:line="400" w:lineRule="exact"/>
        <w:widowControl w:val="off"/>
        <w:rPr>
          <w:sz w:val="24"/>
          <w:szCs w:val="24"/>
        </w:rPr>
      </w:pPr>
      <w:r>
        <w:rPr>
          <w:rFonts w:hint="eastAsia"/>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both"/>
        <w:spacing w:line="400" w:lineRule="exact"/>
        <w:widowControl w:val="off"/>
        <w:rPr>
          <w:sz w:val="24"/>
          <w:szCs w:val="24"/>
        </w:rPr>
      </w:pPr>
      <w:r>
        <w:rPr>
          <w:rFonts w:hint="eastAsia"/>
          <w:sz w:val="24"/>
          <w:szCs w:val="24"/>
        </w:rPr>
        <w:t xml:space="preserve">11.3对于实际使用人和甲方分离的项目，甲方邀请实际使用人参与验收。</w:t>
      </w:r>
      <w:r/>
    </w:p>
    <w:p>
      <w:pPr>
        <w:ind w:firstLine="480"/>
        <w:jc w:val="both"/>
        <w:spacing w:line="400" w:lineRule="exact"/>
        <w:widowControl w:val="off"/>
        <w:rPr>
          <w:sz w:val="24"/>
          <w:szCs w:val="24"/>
        </w:rPr>
      </w:pPr>
      <w:r>
        <w:rPr>
          <w:rFonts w:hint="eastAsia"/>
          <w:sz w:val="24"/>
          <w:szCs w:val="24"/>
        </w:rPr>
        <w:t xml:space="preserve">11.4如有必要，甲方邀请参加本项目的其他供应商或第三方专业机构及专家参与验收，相关意见将作为验收书的参考资料。</w:t>
      </w:r>
      <w:r/>
    </w:p>
    <w:p>
      <w:pPr>
        <w:ind w:firstLine="480"/>
        <w:jc w:val="both"/>
        <w:spacing w:line="400" w:lineRule="exact"/>
        <w:widowControl w:val="off"/>
        <w:rPr>
          <w:sz w:val="24"/>
          <w:szCs w:val="24"/>
          <w:highlight w:val="none"/>
        </w:rPr>
      </w:pPr>
      <w:r>
        <w:rPr>
          <w:rFonts w:hint="eastAsia"/>
          <w:sz w:val="24"/>
          <w:szCs w:val="24"/>
        </w:rPr>
        <w:t xml:space="preserve">11.5甲方成立验收小组，按照采购合同的约定对乙方的履约情况进行验收。验收时间、验收标准见招标文件验收内容，要求设备到货日期距其生产日期不超过一年（以铭牌为准）。验收时，甲方按照采购合同的约定对每一项技术、商务要求的履约情况进行确认。</w:t>
      </w:r>
      <w:r>
        <w:rPr>
          <w:rFonts w:hint="eastAsia"/>
          <w:sz w:val="24"/>
          <w:szCs w:val="24"/>
          <w:highlight w:val="none"/>
        </w:rPr>
        <w:t xml:space="preserve">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both"/>
        <w:spacing w:line="400" w:lineRule="exact"/>
        <w:widowControl w:val="off"/>
        <w:rPr>
          <w:sz w:val="24"/>
          <w:szCs w:val="24"/>
          <w:highlight w:val="none"/>
        </w:rPr>
      </w:pPr>
      <w:r>
        <w:rPr>
          <w:rFonts w:hint="eastAsia"/>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w:t>
      </w:r>
      <w:r>
        <w:rPr>
          <w:rFonts w:hint="eastAsia"/>
          <w:sz w:val="24"/>
          <w:szCs w:val="24"/>
          <w:highlight w:val="none"/>
        </w:rPr>
        <w:t xml:space="preserve">。乙方在履约过程中有政府采购法律法规规定的违法违规情形的，甲方将及时报告本级财政部门。</w:t>
      </w:r>
      <w:r/>
    </w:p>
    <w:p>
      <w:pPr>
        <w:ind w:firstLine="482"/>
        <w:jc w:val="both"/>
        <w:spacing w:line="400" w:lineRule="exact"/>
        <w:widowControl w:val="off"/>
        <w:rPr>
          <w:b/>
          <w:sz w:val="24"/>
          <w:szCs w:val="24"/>
          <w:highlight w:val="none"/>
        </w:rPr>
      </w:pPr>
      <w:r>
        <w:rPr>
          <w:rFonts w:hint="eastAsia"/>
          <w:b/>
          <w:sz w:val="24"/>
          <w:szCs w:val="24"/>
          <w:highlight w:val="none"/>
        </w:rPr>
        <w:t xml:space="preserve">十二、货物的包装、发运及运输</w:t>
      </w:r>
      <w:r/>
    </w:p>
    <w:p>
      <w:pPr>
        <w:ind w:firstLine="480"/>
        <w:jc w:val="both"/>
        <w:spacing w:line="400" w:lineRule="exact"/>
        <w:widowControl w:val="off"/>
        <w:rPr>
          <w:sz w:val="24"/>
          <w:szCs w:val="24"/>
          <w:highlight w:val="none"/>
        </w:rPr>
      </w:pPr>
      <w:r>
        <w:rPr>
          <w:rFonts w:hint="eastAsia"/>
          <w:sz w:val="24"/>
          <w:szCs w:val="24"/>
          <w:highlight w:val="none"/>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both"/>
        <w:spacing w:line="400" w:lineRule="exact"/>
        <w:widowControl w:val="off"/>
        <w:rPr>
          <w:sz w:val="24"/>
          <w:szCs w:val="24"/>
          <w:highlight w:val="none"/>
        </w:rPr>
      </w:pPr>
      <w:r>
        <w:rPr>
          <w:rFonts w:hint="eastAsia"/>
          <w:sz w:val="24"/>
          <w:szCs w:val="24"/>
          <w:highlight w:val="none"/>
        </w:rPr>
        <w:t xml:space="preserve">12.2使用说明书、质量检验证明书、随配附件和工具以及清单一并附于货物内。</w:t>
      </w:r>
      <w:r/>
    </w:p>
    <w:p>
      <w:pPr>
        <w:ind w:firstLine="480"/>
        <w:jc w:val="both"/>
        <w:spacing w:line="400" w:lineRule="exact"/>
        <w:widowControl w:val="off"/>
        <w:rPr>
          <w:sz w:val="24"/>
          <w:szCs w:val="24"/>
          <w:highlight w:val="none"/>
        </w:rPr>
      </w:pPr>
      <w:r>
        <w:rPr>
          <w:rFonts w:hint="eastAsia"/>
          <w:sz w:val="24"/>
          <w:szCs w:val="24"/>
          <w:highlight w:val="none"/>
        </w:rPr>
        <w:t xml:space="preserve">12.3乙方在货物发运手续办理完毕后24小时内或货到甲方48小时前通知甲方，以准备接货。</w:t>
      </w:r>
      <w:r/>
    </w:p>
    <w:p>
      <w:pPr>
        <w:ind w:firstLine="480"/>
        <w:jc w:val="both"/>
        <w:spacing w:line="400" w:lineRule="exact"/>
        <w:widowControl w:val="off"/>
        <w:rPr>
          <w:sz w:val="24"/>
          <w:szCs w:val="24"/>
          <w:highlight w:val="none"/>
        </w:rPr>
      </w:pPr>
      <w:r>
        <w:rPr>
          <w:rFonts w:hint="eastAsia"/>
          <w:sz w:val="24"/>
          <w:szCs w:val="24"/>
          <w:highlight w:val="none"/>
        </w:rPr>
        <w:t xml:space="preserve">12.4货物在交付甲方前发生的风险均由乙方负责。</w:t>
      </w:r>
      <w:r/>
    </w:p>
    <w:p>
      <w:pPr>
        <w:ind w:firstLine="480"/>
        <w:jc w:val="both"/>
        <w:spacing w:line="400" w:lineRule="exact"/>
        <w:widowControl w:val="off"/>
        <w:rPr>
          <w:sz w:val="24"/>
          <w:szCs w:val="24"/>
          <w:highlight w:val="none"/>
        </w:rPr>
      </w:pPr>
      <w:r>
        <w:rPr>
          <w:rFonts w:hint="eastAsia"/>
          <w:sz w:val="24"/>
          <w:szCs w:val="24"/>
          <w:highlight w:val="none"/>
        </w:rPr>
        <w:t xml:space="preserve">12.5货物在规定的交付期限内由乙方送达甲方指定的地点视为交付，乙方同时需通知甲方货物已送达。</w:t>
      </w:r>
      <w:r/>
    </w:p>
    <w:p>
      <w:pPr>
        <w:ind w:firstLine="482"/>
        <w:jc w:val="both"/>
        <w:spacing w:line="400" w:lineRule="exact"/>
        <w:widowControl w:val="off"/>
        <w:rPr>
          <w:b/>
          <w:sz w:val="24"/>
          <w:szCs w:val="24"/>
          <w:highlight w:val="none"/>
        </w:rPr>
      </w:pPr>
      <w:r>
        <w:rPr>
          <w:rFonts w:hint="eastAsia"/>
          <w:b/>
          <w:sz w:val="24"/>
          <w:szCs w:val="24"/>
          <w:highlight w:val="none"/>
        </w:rPr>
        <w:t xml:space="preserve">十三、违约责任</w:t>
      </w:r>
      <w:r/>
    </w:p>
    <w:p>
      <w:pPr>
        <w:ind w:firstLine="480"/>
        <w:jc w:val="both"/>
        <w:spacing w:line="400" w:lineRule="exact"/>
        <w:widowControl w:val="off"/>
        <w:rPr>
          <w:sz w:val="24"/>
          <w:szCs w:val="24"/>
          <w:highlight w:val="none"/>
        </w:rPr>
      </w:pPr>
      <w:r>
        <w:rPr>
          <w:rFonts w:hint="eastAsia"/>
          <w:sz w:val="24"/>
          <w:szCs w:val="24"/>
          <w:highlight w:val="none"/>
        </w:rPr>
        <w:t xml:space="preserve">13.1甲方无正当理由拒收货物的，甲方向乙方偿付拒收货款总值</w:t>
      </w:r>
      <w:r>
        <w:rPr>
          <w:rFonts w:hint="eastAsia"/>
          <w:sz w:val="24"/>
          <w:szCs w:val="24"/>
          <w:highlight w:val="none"/>
          <w:u w:val="single"/>
        </w:rPr>
        <w:t xml:space="preserve">    </w:t>
      </w:r>
      <w:r>
        <w:rPr>
          <w:rFonts w:hint="eastAsia"/>
          <w:sz w:val="24"/>
          <w:szCs w:val="24"/>
          <w:highlight w:val="none"/>
        </w:rPr>
        <w:t xml:space="preserve">的违约金。</w:t>
      </w:r>
      <w:r/>
    </w:p>
    <w:p>
      <w:pPr>
        <w:ind w:firstLine="480"/>
        <w:jc w:val="both"/>
        <w:spacing w:line="400" w:lineRule="exact"/>
        <w:widowControl w:val="off"/>
        <w:rPr>
          <w:sz w:val="24"/>
          <w:szCs w:val="24"/>
          <w:highlight w:val="none"/>
        </w:rPr>
      </w:pPr>
      <w:r>
        <w:rPr>
          <w:rFonts w:hint="eastAsia"/>
          <w:sz w:val="24"/>
          <w:szCs w:val="24"/>
          <w:highlight w:val="none"/>
        </w:rPr>
        <w:t xml:space="preserve">13.2甲方无故逾期验收和办理货款支付手续的，甲方应按逾期付款总额每日</w:t>
      </w:r>
      <w:r>
        <w:rPr>
          <w:rFonts w:hint="eastAsia"/>
          <w:sz w:val="24"/>
          <w:szCs w:val="24"/>
          <w:highlight w:val="none"/>
          <w:u w:val="single"/>
        </w:rPr>
        <w:t xml:space="preserve">    </w:t>
      </w:r>
      <w:r>
        <w:rPr>
          <w:rFonts w:hint="eastAsia"/>
          <w:sz w:val="24"/>
          <w:szCs w:val="24"/>
          <w:highlight w:val="none"/>
        </w:rPr>
        <w:t xml:space="preserve">向乙方支付违约金。</w:t>
      </w:r>
      <w:r/>
    </w:p>
    <w:p>
      <w:pPr>
        <w:ind w:firstLine="480"/>
        <w:jc w:val="both"/>
        <w:spacing w:line="400" w:lineRule="exact"/>
        <w:widowControl w:val="off"/>
        <w:rPr>
          <w:sz w:val="24"/>
          <w:szCs w:val="24"/>
          <w:highlight w:val="none"/>
        </w:rPr>
      </w:pPr>
      <w:r>
        <w:rPr>
          <w:rFonts w:hint="eastAsia"/>
          <w:sz w:val="24"/>
          <w:szCs w:val="24"/>
          <w:highlight w:val="none"/>
        </w:rPr>
        <w:t xml:space="preserve">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sz w:val="24"/>
          <w:szCs w:val="24"/>
          <w:highlight w:val="none"/>
          <w:u w:val="single"/>
        </w:rPr>
        <w:t xml:space="preserve">    </w:t>
      </w:r>
      <w:r>
        <w:rPr>
          <w:rFonts w:hint="eastAsia"/>
          <w:sz w:val="24"/>
          <w:szCs w:val="24"/>
          <w:highlight w:val="none"/>
        </w:rPr>
        <w:t xml:space="preserve">的违约金，如造成甲方损失超过违约金的，超出部分由乙方继续承担赔偿责任。 </w:t>
      </w:r>
      <w:r/>
    </w:p>
    <w:p>
      <w:pPr>
        <w:ind w:firstLine="480"/>
        <w:jc w:val="both"/>
        <w:spacing w:line="400" w:lineRule="exact"/>
        <w:widowControl w:val="off"/>
        <w:rPr>
          <w:sz w:val="24"/>
          <w:szCs w:val="24"/>
          <w:highlight w:val="none"/>
        </w:rPr>
      </w:pPr>
      <w:r>
        <w:rPr>
          <w:rFonts w:hint="eastAsia"/>
          <w:sz w:val="24"/>
          <w:szCs w:val="24"/>
          <w:highlight w:val="none"/>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both"/>
        <w:spacing w:line="400" w:lineRule="exact"/>
        <w:widowControl w:val="off"/>
        <w:rPr>
          <w:b/>
          <w:sz w:val="24"/>
          <w:szCs w:val="24"/>
          <w:highlight w:val="none"/>
        </w:rPr>
      </w:pPr>
      <w:r>
        <w:rPr>
          <w:rFonts w:hint="eastAsia"/>
          <w:b/>
          <w:sz w:val="24"/>
          <w:szCs w:val="24"/>
          <w:highlight w:val="none"/>
        </w:rPr>
        <w:t xml:space="preserve">十四、不可抗力事件处理</w:t>
      </w:r>
      <w:r/>
    </w:p>
    <w:p>
      <w:pPr>
        <w:ind w:firstLine="480"/>
        <w:jc w:val="both"/>
        <w:spacing w:line="400" w:lineRule="exact"/>
        <w:widowControl w:val="off"/>
        <w:rPr>
          <w:sz w:val="24"/>
          <w:szCs w:val="24"/>
          <w:highlight w:val="none"/>
        </w:rPr>
      </w:pPr>
      <w:r>
        <w:rPr>
          <w:rFonts w:hint="eastAsia"/>
          <w:sz w:val="24"/>
          <w:szCs w:val="24"/>
          <w:highlight w:val="none"/>
        </w:rPr>
        <w:t xml:space="preserve">14.1在合同有效期内，任何一方因不可抗力事件导致不能履行合同，则合同履行期可延长，其延长期与不可抗力影响期相同。</w:t>
      </w:r>
      <w:r/>
    </w:p>
    <w:p>
      <w:pPr>
        <w:ind w:firstLine="480"/>
        <w:jc w:val="both"/>
        <w:spacing w:line="400" w:lineRule="exact"/>
        <w:widowControl w:val="off"/>
        <w:rPr>
          <w:sz w:val="24"/>
          <w:szCs w:val="24"/>
          <w:highlight w:val="none"/>
        </w:rPr>
      </w:pPr>
      <w:r>
        <w:rPr>
          <w:rFonts w:hint="eastAsia"/>
          <w:sz w:val="24"/>
          <w:szCs w:val="24"/>
          <w:highlight w:val="none"/>
        </w:rPr>
        <w:t xml:space="preserve">14.2不可抗力事件发生后，应立即通知对方，并寄送有关权威机构出具的证明。</w:t>
      </w:r>
      <w:r/>
    </w:p>
    <w:p>
      <w:pPr>
        <w:ind w:firstLine="480"/>
        <w:jc w:val="both"/>
        <w:spacing w:line="400" w:lineRule="exact"/>
        <w:widowControl w:val="off"/>
        <w:rPr>
          <w:sz w:val="24"/>
          <w:szCs w:val="24"/>
          <w:highlight w:val="none"/>
        </w:rPr>
      </w:pPr>
      <w:r>
        <w:rPr>
          <w:rFonts w:hint="eastAsia"/>
          <w:sz w:val="24"/>
          <w:szCs w:val="24"/>
          <w:highlight w:val="none"/>
        </w:rPr>
        <w:t xml:space="preserve">14.3不可抗力事件延续120天以上，双方应通过友好协商，确定是否继续履行合同。</w:t>
      </w:r>
      <w:r/>
    </w:p>
    <w:p>
      <w:pPr>
        <w:ind w:firstLine="482"/>
        <w:jc w:val="both"/>
        <w:spacing w:line="400" w:lineRule="exact"/>
        <w:widowControl w:val="off"/>
        <w:rPr>
          <w:b/>
          <w:sz w:val="24"/>
          <w:szCs w:val="24"/>
          <w:highlight w:val="none"/>
        </w:rPr>
      </w:pPr>
      <w:r>
        <w:rPr>
          <w:rFonts w:hint="eastAsia"/>
          <w:b/>
          <w:sz w:val="24"/>
          <w:szCs w:val="24"/>
          <w:highlight w:val="none"/>
        </w:rPr>
        <w:t xml:space="preserve">十五、解决争议的方法</w:t>
      </w:r>
      <w:r/>
    </w:p>
    <w:p>
      <w:pPr>
        <w:ind w:firstLine="480"/>
        <w:jc w:val="both"/>
        <w:spacing w:line="400" w:lineRule="exact"/>
        <w:widowControl w:val="off"/>
        <w:rPr>
          <w:sz w:val="24"/>
          <w:szCs w:val="24"/>
          <w:highlight w:val="none"/>
        </w:rPr>
      </w:pPr>
      <w:r>
        <w:rPr>
          <w:rFonts w:hint="eastAsia"/>
          <w:sz w:val="24"/>
          <w:szCs w:val="24"/>
          <w:highlight w:val="none"/>
        </w:rPr>
        <w:t xml:space="preserve">15.1甲乙双方因合同签订、履行而发生的一切争议，应通过友好协商解决。如协商不成由甲方住所地人民法院管辖。</w:t>
      </w:r>
      <w:r/>
    </w:p>
    <w:p>
      <w:pPr>
        <w:ind w:firstLine="482"/>
        <w:jc w:val="both"/>
        <w:spacing w:line="400" w:lineRule="exact"/>
        <w:widowControl w:val="off"/>
        <w:rPr>
          <w:b/>
          <w:sz w:val="24"/>
          <w:szCs w:val="24"/>
          <w:highlight w:val="none"/>
        </w:rPr>
      </w:pPr>
      <w:r>
        <w:rPr>
          <w:rFonts w:hint="eastAsia"/>
          <w:b/>
          <w:sz w:val="24"/>
          <w:szCs w:val="24"/>
          <w:highlight w:val="none"/>
        </w:rPr>
        <w:t xml:space="preserve">十六、合同生效及其它</w:t>
      </w:r>
      <w:r/>
    </w:p>
    <w:p>
      <w:pPr>
        <w:ind w:firstLine="480"/>
        <w:jc w:val="both"/>
        <w:spacing w:line="400" w:lineRule="exact"/>
        <w:widowControl w:val="off"/>
        <w:rPr>
          <w:sz w:val="24"/>
          <w:szCs w:val="24"/>
          <w:highlight w:val="none"/>
        </w:rPr>
      </w:pPr>
      <w:r>
        <w:rPr>
          <w:rFonts w:hint="eastAsia"/>
          <w:sz w:val="24"/>
          <w:szCs w:val="24"/>
          <w:highlight w:val="none"/>
        </w:rPr>
        <w:t xml:space="preserve">16.1 合同经双方法定代表人或授权委托代表人签字并加盖单位公章后生效。</w:t>
      </w:r>
      <w:r/>
    </w:p>
    <w:p>
      <w:pPr>
        <w:ind w:firstLine="480"/>
        <w:jc w:val="both"/>
        <w:spacing w:line="400" w:lineRule="exact"/>
        <w:widowControl w:val="off"/>
        <w:rPr>
          <w:sz w:val="24"/>
          <w:szCs w:val="24"/>
          <w:highlight w:val="none"/>
        </w:rPr>
      </w:pPr>
      <w:r>
        <w:rPr>
          <w:rFonts w:hint="eastAsia"/>
          <w:sz w:val="24"/>
          <w:szCs w:val="24"/>
          <w:highlight w:val="none"/>
        </w:rPr>
        <w:t xml:space="preserve">16.2本合同未尽事宜，遵照</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中华人民共和国民法典》《中华人民共和国政府采购法</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sz w:val="24"/>
          <w:szCs w:val="24"/>
          <w:highlight w:val="none"/>
        </w:rPr>
        <w:t xml:space="preserve">有关条文执行。</w:t>
      </w:r>
      <w:r/>
    </w:p>
    <w:p>
      <w:pPr>
        <w:ind w:firstLine="480"/>
        <w:jc w:val="both"/>
        <w:spacing w:line="400" w:lineRule="exact"/>
        <w:widowControl w:val="off"/>
        <w:rPr>
          <w:sz w:val="24"/>
          <w:szCs w:val="24"/>
          <w:highlight w:val="none"/>
        </w:rPr>
      </w:pPr>
      <w:r>
        <w:rPr>
          <w:rFonts w:hint="eastAsia"/>
          <w:sz w:val="24"/>
          <w:szCs w:val="24"/>
          <w:highlight w:val="none"/>
        </w:rPr>
        <w:t xml:space="preserve">16.3 本合同正本一式四份，具有同等法律效力，甲方三份、乙方一份。</w:t>
      </w:r>
      <w:r/>
    </w:p>
    <w:p>
      <w:pPr>
        <w:ind w:firstLine="482"/>
        <w:jc w:val="both"/>
        <w:spacing w:line="400" w:lineRule="exact"/>
        <w:widowControl w:val="off"/>
        <w:rPr>
          <w:b/>
          <w:sz w:val="24"/>
          <w:szCs w:val="24"/>
          <w:highlight w:val="none"/>
        </w:rPr>
      </w:pPr>
      <w:r>
        <w:rPr>
          <w:rFonts w:hint="eastAsia"/>
          <w:b/>
          <w:sz w:val="24"/>
          <w:szCs w:val="24"/>
          <w:highlight w:val="none"/>
        </w:rPr>
        <w:t xml:space="preserve">十七、合同附件（注：可按需添加附件）</w:t>
      </w:r>
      <w:r/>
    </w:p>
    <w:p>
      <w:pPr>
        <w:jc w:val="both"/>
        <w:spacing w:line="400" w:lineRule="exact"/>
        <w:widowControl w:val="off"/>
        <w:rPr>
          <w:sz w:val="24"/>
          <w:szCs w:val="24"/>
        </w:rPr>
      </w:pPr>
      <w:r>
        <w:rPr>
          <w:sz w:val="24"/>
          <w:szCs w:val="24"/>
        </w:rPr>
      </w:r>
      <w:r/>
    </w:p>
    <w:p>
      <w:pPr>
        <w:jc w:val="both"/>
        <w:spacing w:line="400" w:lineRule="exact"/>
        <w:widowControl w:val="off"/>
        <w:rPr>
          <w:sz w:val="24"/>
          <w:szCs w:val="24"/>
        </w:rPr>
      </w:pPr>
      <w:r>
        <w:rPr>
          <w:sz w:val="24"/>
          <w:szCs w:val="24"/>
        </w:rPr>
      </w:r>
      <w:r/>
    </w:p>
    <w:p>
      <w:pPr>
        <w:ind w:left="480" w:hanging="480"/>
        <w:jc w:val="both"/>
        <w:spacing w:line="480" w:lineRule="auto"/>
        <w:widowControl w:val="off"/>
        <w:rPr>
          <w:sz w:val="24"/>
          <w:szCs w:val="24"/>
        </w:rPr>
      </w:pPr>
      <w:r>
        <w:rPr>
          <w:rFonts w:hint="eastAsia"/>
          <w:sz w:val="24"/>
          <w:szCs w:val="24"/>
        </w:rPr>
        <w:t xml:space="preserve">  甲方：无锡市妇幼保健院                  乙方： </w:t>
      </w:r>
      <w:r/>
    </w:p>
    <w:p>
      <w:pPr>
        <w:jc w:val="both"/>
        <w:spacing w:line="480" w:lineRule="auto"/>
        <w:widowControl w:val="off"/>
        <w:rPr>
          <w:sz w:val="24"/>
          <w:szCs w:val="24"/>
        </w:rPr>
      </w:pPr>
      <w:r>
        <w:rPr>
          <w:rFonts w:hint="eastAsia"/>
          <w:sz w:val="24"/>
          <w:szCs w:val="24"/>
        </w:rPr>
        <w:t xml:space="preserve">  地址：无锡市槐树巷48号                 地址： </w:t>
      </w:r>
      <w:r/>
    </w:p>
    <w:p>
      <w:pPr>
        <w:jc w:val="both"/>
        <w:spacing w:line="480" w:lineRule="auto"/>
        <w:widowControl w:val="off"/>
        <w:rPr>
          <w:sz w:val="24"/>
          <w:szCs w:val="24"/>
        </w:rPr>
      </w:pPr>
      <w:r>
        <w:rPr>
          <w:rFonts w:hint="eastAsia"/>
          <w:sz w:val="24"/>
          <w:szCs w:val="24"/>
        </w:rPr>
        <w:t xml:space="preserve">  法定代表人或授权代表：                  法定代表人或授权代表：</w:t>
      </w:r>
      <w:r/>
    </w:p>
    <w:p>
      <w:pPr>
        <w:ind w:firstLine="240"/>
        <w:jc w:val="both"/>
        <w:spacing w:line="400" w:lineRule="exact"/>
        <w:widowControl w:val="off"/>
        <w:rPr>
          <w:sz w:val="24"/>
          <w:szCs w:val="24"/>
        </w:rPr>
      </w:pPr>
      <w:r>
        <w:rPr>
          <w:rFonts w:hint="eastAsia"/>
          <w:sz w:val="24"/>
          <w:szCs w:val="24"/>
        </w:rPr>
        <w:t xml:space="preserve">                       </w:t>
      </w:r>
      <w:r/>
    </w:p>
    <w:p>
      <w:pPr>
        <w:ind w:firstLine="1200"/>
        <w:jc w:val="both"/>
        <w:spacing w:line="400" w:lineRule="exact"/>
        <w:widowControl w:val="off"/>
        <w:rPr>
          <w:sz w:val="24"/>
          <w:szCs w:val="24"/>
        </w:rPr>
      </w:pPr>
      <w:r/>
      <w:bookmarkStart w:id="190" w:name="_Hlk167282194"/>
      <w:r>
        <w:rPr>
          <w:rFonts w:hint="eastAsia"/>
          <w:sz w:val="24"/>
          <w:szCs w:val="24"/>
        </w:rPr>
        <w:t xml:space="preserve">年    月   日                   年    月   日</w:t>
      </w:r>
      <w:bookmarkEnd w:id="190"/>
      <w:r/>
      <w:r/>
    </w:p>
    <w:p>
      <w:pPr>
        <w:ind w:firstLine="240"/>
        <w:jc w:val="both"/>
        <w:spacing w:line="400" w:lineRule="exact"/>
        <w:widowControl w:val="off"/>
        <w:rPr>
          <w:sz w:val="24"/>
          <w:szCs w:val="24"/>
        </w:rPr>
      </w:pPr>
      <w:r>
        <w:rPr>
          <w:sz w:val="24"/>
          <w:szCs w:val="24"/>
        </w:rPr>
      </w:r>
      <w:r/>
    </w:p>
    <w:p>
      <w:pPr>
        <w:jc w:val="center"/>
        <w:spacing w:line="360" w:lineRule="auto"/>
        <w:widowControl w:val="off"/>
        <w:rPr>
          <w:sz w:val="24"/>
          <w:szCs w:val="24"/>
        </w:rPr>
      </w:pPr>
      <w:r>
        <w:rPr>
          <w:rFonts w:hint="eastAsia"/>
          <w:sz w:val="24"/>
          <w:szCs w:val="24"/>
        </w:rPr>
        <w:t xml:space="preserve">          </w:t>
      </w:r>
      <w:bookmarkStart w:id="191" w:name="_Hlk176765009"/>
      <w:r>
        <w:rPr>
          <w:rFonts w:hint="eastAsia"/>
          <w:sz w:val="24"/>
          <w:szCs w:val="24"/>
          <w:lang w:val="en-US" w:eastAsia="zh-CN"/>
        </w:rPr>
        <w:t xml:space="preserve">         </w:t>
      </w:r>
      <w:r>
        <w:rPr>
          <w:rFonts w:hint="eastAsia"/>
          <w:sz w:val="24"/>
          <w:szCs w:val="24"/>
        </w:rPr>
        <w:t xml:space="preserve">乙方户名：</w:t>
      </w:r>
      <w:r/>
    </w:p>
    <w:p>
      <w:pPr>
        <w:ind w:firstLine="480"/>
        <w:jc w:val="both"/>
        <w:spacing w:line="360" w:lineRule="auto"/>
        <w:widowControl w:val="off"/>
        <w:rPr>
          <w:bCs/>
          <w:sz w:val="24"/>
          <w:szCs w:val="24"/>
        </w:rPr>
      </w:pPr>
      <w:r>
        <w:rPr>
          <w:rFonts w:hint="eastAsia"/>
          <w:sz w:val="24"/>
          <w:szCs w:val="24"/>
        </w:rPr>
        <w:t xml:space="preserve">                                      乙方开户银行：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sz w:val="24"/>
          <w:szCs w:val="24"/>
        </w:rPr>
        <w:t xml:space="preserve">        </w:t>
      </w:r>
      <w:r>
        <w:rPr>
          <w:rFonts w:hint="eastAsia"/>
          <w:sz w:val="24"/>
          <w:szCs w:val="24"/>
          <w:lang w:val="en-US" w:eastAsia="zh-CN"/>
        </w:rPr>
        <w:t xml:space="preserve">                              </w:t>
      </w:r>
      <w:r>
        <w:rPr>
          <w:rFonts w:hint="eastAsia"/>
          <w:sz w:val="24"/>
          <w:szCs w:val="24"/>
        </w:rPr>
        <w:t xml:space="preserve">乙方账号</w:t>
      </w:r>
      <w:bookmarkEnd w:id="191"/>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hint="eastAsia" w:hAnsi="宋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w:t>
      </w:r>
      <w:bookmarkEnd w:id="181"/>
      <w:r>
        <w:rPr>
          <w:rFonts w:hint="eastAsia" w:ascii="黑体" w:eastAsia="黑体"/>
          <w:bCs/>
          <w:color w:val="000000" w:themeColor="text1"/>
          <w:sz w:val="36"/>
          <w:szCs w:val="36"/>
          <w:highlight w:val="non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92" w:name="_Toc49090575"/>
      <w:r/>
      <w:bookmarkStart w:id="193" w:name="_Toc26554093"/>
      <w:r>
        <w:rPr>
          <w:rFonts w:hint="eastAsia" w:ascii="黑体" w:hAnsi="黑体" w:eastAsia="黑体"/>
          <w:color w:val="000000" w:themeColor="text1"/>
          <w:sz w:val="30"/>
          <w:szCs w:val="30"/>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本项目中的</w:t>
      </w:r>
      <w:r>
        <w:rPr>
          <w:rFonts w:hint="eastAsia" w:ascii="宋体" w:hAnsi="宋体"/>
          <w:b w:val="0"/>
          <w:bCs/>
          <w:color w:val="000000" w:themeColor="text1"/>
          <w:sz w:val="24"/>
          <w:szCs w:val="24"/>
          <w:highlight w:val="none"/>
          <w:lang w:eastAsia="zh-CN"/>
          <w14:textFill>
            <w14:solidFill>
              <w14:schemeClr w14:val="tx1"/>
            </w14:solidFill>
          </w14:textFill>
        </w:rPr>
        <w:t xml:space="preserve">宫腔镜手术系统</w:t>
      </w:r>
      <w:r>
        <w:rPr>
          <w:rFonts w:hint="eastAsia" w:ascii="宋体" w:hAnsi="宋体"/>
          <w:color w:val="000000" w:themeColor="text1"/>
          <w:sz w:val="24"/>
          <w:szCs w:val="24"/>
          <w:highlight w:val="none"/>
          <w14:textFill>
            <w14:solidFill>
              <w14:schemeClr w14:val="tx1"/>
            </w14:solidFill>
          </w14:textFill>
        </w:rPr>
        <w:t xml:space="preserve">为核心产品。</w:t>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第一部分 项目技术要求</w:t>
      </w:r>
      <w:r/>
    </w:p>
    <w:p>
      <w:pPr>
        <w:ind w:firstLine="420"/>
        <w:jc w:val="left"/>
        <w:keepLines w:val="0"/>
        <w:keepNext w:val="0"/>
        <w:pageBreakBefore w:val="0"/>
        <w:spacing w:line="360" w:lineRule="auto"/>
        <w:shd w:val="clear" w:color="auto" w:fill="ffffff"/>
        <w:widowControl/>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none"/>
          <w:u w:val="single"/>
          <w14:textFill>
            <w14:solidFill>
              <w14:schemeClr w14:val="tx1"/>
            </w14:solidFill>
          </w14:textFill>
        </w:rPr>
        <w:t xml:space="preserve">。并如实地在《投标偏离表》中按招标文件“采购需求”中</w:t>
      </w:r>
      <w:r>
        <w:rPr>
          <w:rFonts w:hint="eastAsia" w:ascii="宋体" w:hAnsi="宋体"/>
          <w:b/>
          <w:bCs/>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lang w:val="en-US" w:eastAsia="zh-CN"/>
          <w14:textFill>
            <w14:solidFill>
              <w14:schemeClr w14:val="tx1"/>
            </w14:solidFill>
          </w14:textFill>
        </w:rPr>
        <w:t xml:space="preserve">配置要求</w:t>
      </w:r>
      <w:r>
        <w:rPr>
          <w:rFonts w:hint="eastAsia" w:ascii="宋体" w:hAnsi="宋体"/>
          <w:b/>
          <w:bCs/>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lang w:val="en-US" w:eastAsia="zh-CN"/>
          <w14:textFill>
            <w14:solidFill>
              <w14:schemeClr w14:val="tx1"/>
            </w14:solidFill>
          </w14:textFill>
        </w:rPr>
        <w:t xml:space="preserve">技术要求</w:t>
      </w:r>
      <w:r>
        <w:rPr>
          <w:rFonts w:hint="eastAsia" w:ascii="宋体" w:hAnsi="宋体"/>
          <w:b/>
          <w:bCs/>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lang w:eastAsia="zh-CN"/>
          <w14:textFill>
            <w14:solidFill>
              <w14:schemeClr w14:val="tx1"/>
            </w14:solidFill>
          </w14:textFill>
        </w:rPr>
        <w:t xml:space="preserve">“</w:t>
      </w:r>
      <w:r>
        <w:rPr>
          <w:rFonts w:hint="eastAsia" w:ascii="宋体" w:hAnsi="宋体"/>
          <w:b/>
          <w:bCs/>
          <w:color w:val="000000" w:themeColor="text1"/>
          <w:sz w:val="24"/>
          <w:szCs w:val="24"/>
          <w:highlight w:val="none"/>
          <w:u w:val="single"/>
          <w:lang w:val="en-US" w:eastAsia="zh-CN"/>
          <w14:textFill>
            <w14:solidFill>
              <w14:schemeClr w14:val="tx1"/>
            </w14:solidFill>
          </w14:textFill>
        </w:rPr>
        <w:t xml:space="preserve">其他要求</w:t>
      </w:r>
      <w:r>
        <w:rPr>
          <w:rFonts w:hint="eastAsia" w:ascii="宋体" w:hAnsi="宋体"/>
          <w:b/>
          <w:bCs/>
          <w:color w:val="000000" w:themeColor="text1"/>
          <w:sz w:val="24"/>
          <w:szCs w:val="24"/>
          <w:highlight w:val="none"/>
          <w:u w:val="single"/>
          <w:lang w:eastAsia="zh-CN"/>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等</w:t>
      </w:r>
      <w:r>
        <w:rPr>
          <w:rFonts w:hint="eastAsia" w:ascii="宋体" w:hAnsi="宋体"/>
          <w:color w:val="000000" w:themeColor="text1"/>
          <w:sz w:val="24"/>
          <w:szCs w:val="24"/>
          <w:highlight w:val="none"/>
          <w:u w:val="single"/>
          <w14:textFill>
            <w14:solidFill>
              <w14:schemeClr w14:val="tx1"/>
            </w14:solidFill>
          </w14:textFill>
        </w:rPr>
        <w:t xml:space="preserve">内容</w:t>
      </w:r>
      <w:r>
        <w:rPr>
          <w:rFonts w:hint="eastAsia" w:ascii="宋体" w:hAnsi="宋体"/>
          <w:b/>
          <w:bCs/>
          <w:color w:val="000000" w:themeColor="text1"/>
          <w:sz w:val="24"/>
          <w:szCs w:val="24"/>
          <w:highlight w:val="none"/>
          <w:u w:val="single"/>
          <w14:textFill>
            <w14:solidFill>
              <w14:schemeClr w14:val="tx1"/>
            </w14:solidFill>
          </w14:textFill>
        </w:rPr>
        <w:t xml:space="preserve">逐条标明</w:t>
      </w:r>
      <w:r>
        <w:rPr>
          <w:rFonts w:hint="eastAsia" w:ascii="宋体" w:hAnsi="宋体"/>
          <w:color w:val="000000" w:themeColor="text1"/>
          <w:sz w:val="24"/>
          <w:szCs w:val="24"/>
          <w:highlight w:val="none"/>
          <w:u w:val="single"/>
          <w14:textFill>
            <w14:solidFill>
              <w14:schemeClr w14:val="tx1"/>
            </w14:solidFill>
          </w14:textFill>
        </w:rPr>
        <w:t xml:space="preserve">满足与否，并对其真实性负责。技术条款</w:t>
      </w:r>
      <w:r>
        <w:rPr>
          <w:rFonts w:hint="eastAsia" w:ascii="宋体" w:hAnsi="宋体"/>
          <w:b/>
          <w:bCs/>
          <w:color w:val="000000" w:themeColor="text1"/>
          <w:sz w:val="24"/>
          <w:szCs w:val="24"/>
          <w:highlight w:val="none"/>
          <w:u w:val="single"/>
          <w14:textFill>
            <w14:solidFill>
              <w14:schemeClr w14:val="tx1"/>
            </w14:solidFill>
          </w14:textFill>
        </w:rPr>
        <w:t xml:space="preserve">必须</w:t>
      </w:r>
      <w:r>
        <w:rPr>
          <w:rFonts w:hint="eastAsia" w:ascii="宋体" w:hAnsi="宋体"/>
          <w:color w:val="000000" w:themeColor="text1"/>
          <w:sz w:val="24"/>
          <w:szCs w:val="24"/>
          <w:highlight w:val="non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宋体"/>
          <w:color w:val="000000"/>
          <w:sz w:val="24"/>
          <w:szCs w:val="24"/>
          <w:highlight w:val="none"/>
          <w:u w:val="single"/>
        </w:rPr>
        <w:t xml:space="preserve">（须体现所投产品品牌型号）</w:t>
      </w:r>
      <w:r>
        <w:rPr>
          <w:rFonts w:hint="eastAsia" w:ascii="宋体" w:hAnsi="宋体"/>
          <w:color w:val="000000" w:themeColor="text1"/>
          <w:sz w:val="24"/>
          <w:szCs w:val="24"/>
          <w:highlight w:val="none"/>
          <w:u w:val="single"/>
          <w14:textFill>
            <w14:solidFill>
              <w14:schemeClr w14:val="tx1"/>
            </w14:solidFill>
          </w14:textFill>
        </w:rPr>
        <w:t xml:space="preserve">等），未提供技术支持资料或提供的技术支持资料不能佐证偏离表内容的，评审时不予认可。</w:t>
      </w:r>
      <w:r/>
    </w:p>
    <w:p>
      <w:pP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★一、配置要求：</w:t>
      </w:r>
      <w:r/>
    </w:p>
    <w:tbl>
      <w:tblPr>
        <w:tblStyle w:val="729"/>
        <w:tblW w:w="8698" w:type="dxa"/>
        <w:jc w:val="center"/>
        <w:tblLayout w:type="fixed"/>
        <w:tblCellMar>
          <w:left w:w="108" w:type="dxa"/>
          <w:top w:w="0" w:type="dxa"/>
          <w:right w:w="108" w:type="dxa"/>
          <w:bottom w:w="0" w:type="dxa"/>
        </w:tblCellMar>
        <w:tblLook w:val="04A0" w:firstRow="1" w:lastRow="0" w:firstColumn="1" w:lastColumn="0" w:noHBand="0" w:noVBand="1"/>
      </w:tblPr>
      <w:tblGrid>
        <w:gridCol w:w="1404"/>
        <w:gridCol w:w="5062"/>
        <w:gridCol w:w="780"/>
        <w:gridCol w:w="1452"/>
      </w:tblGrid>
      <w:tr>
        <w:trPr>
          <w:jc w:val="center"/>
          <w:trHeight w:val="567" w:hRule="exact"/>
        </w:trPr>
        <w:tc>
          <w:tcPr>
            <w:shd w:val="clear" w:color="auto" w:fill="auto"/>
            <w:tcBorders>
              <w:top w:val="single" w:color="000000" w:sz="8" w:space="0"/>
              <w:left w:val="single" w:color="000000" w:sz="8" w:space="0"/>
              <w:bottom w:val="single" w:color="000000" w:sz="4" w:space="0"/>
              <w:right w:val="single" w:color="000000" w:sz="4" w:space="0"/>
            </w:tcBorders>
            <w:tcW w:w="1404"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4"/>
                <w:szCs w:val="24"/>
              </w:rPr>
            </w:pPr>
            <w:r/>
            <w:bookmarkStart w:id="194" w:name="_Hlk211332232"/>
            <w:r/>
            <w:bookmarkStart w:id="195" w:name="OLE_LINK29"/>
            <w:r/>
            <w:bookmarkStart w:id="196" w:name="OLE_LINK28"/>
            <w:r>
              <w:rPr>
                <w:rFonts w:hint="eastAsia" w:ascii="宋体" w:hAnsi="宋体" w:eastAsia="宋体" w:cs="宋体"/>
                <w:sz w:val="24"/>
                <w:szCs w:val="24"/>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5062"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产品名称</w:t>
            </w:r>
            <w:r/>
          </w:p>
        </w:tc>
        <w:tc>
          <w:tcPr>
            <w:shd w:val="clear" w:color="auto" w:fill="auto"/>
            <w:tcBorders>
              <w:top w:val="single" w:color="000000" w:sz="8"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单位</w:t>
            </w:r>
            <w:r/>
          </w:p>
        </w:tc>
        <w:tc>
          <w:tcPr>
            <w:shd w:val="clear" w:color="auto" w:fill="auto"/>
            <w:tcBorders>
              <w:top w:val="single" w:color="000000" w:sz="8" w:space="0"/>
              <w:left w:val="single" w:color="000000" w:sz="4" w:space="0"/>
              <w:bottom w:val="single" w:color="000000" w:sz="4" w:space="0"/>
              <w:right w:val="single" w:color="000000" w:sz="8" w:space="0"/>
            </w:tcBorders>
            <w:tcW w:w="1452"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567" w:hRule="exact"/>
        </w:trPr>
        <w:tc>
          <w:tcPr>
            <w:tcBorders>
              <w:top w:val="single" w:color="000000" w:sz="4" w:space="0"/>
              <w:left w:val="single" w:color="000000" w:sz="8" w:space="0"/>
              <w:bottom w:val="single" w:color="000000" w:sz="4" w:space="0"/>
              <w:right w:val="single" w:color="000000" w:sz="4" w:space="0"/>
            </w:tcBorders>
            <w:tcW w:w="1404" w:type="dxa"/>
            <w:vAlign w:val="center"/>
            <w:textDirection w:val="lrTb"/>
            <w:noWrap/>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医用内窥镜图像处理器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single" w:color="000000" w:sz="4" w:space="0"/>
              <w:bottom w:val="single" w:color="000000" w:sz="4" w:space="0"/>
              <w:right w:val="single" w:color="000000" w:sz="8" w:space="0"/>
            </w:tcBorders>
            <w:tcW w:w="1452"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67" w:hRule="exact"/>
        </w:trPr>
        <w:tc>
          <w:tcPr>
            <w:tcBorders>
              <w:top w:val="single" w:color="000000" w:sz="4" w:space="0"/>
              <w:left w:val="single" w:color="000000" w:sz="8" w:space="0"/>
              <w:bottom w:val="single" w:color="000000" w:sz="4" w:space="0"/>
              <w:right w:val="single" w:color="000000" w:sz="4" w:space="0"/>
            </w:tcBorders>
            <w:tcW w:w="1404" w:type="dxa"/>
            <w:vAlign w:val="center"/>
            <w:textDirection w:val="lrTb"/>
            <w:noWrap/>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摄像头</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个</w:t>
            </w:r>
            <w:r/>
          </w:p>
        </w:tc>
        <w:tc>
          <w:tcPr>
            <w:tcBorders>
              <w:top w:val="single" w:color="000000" w:sz="4" w:space="0"/>
              <w:left w:val="single" w:color="000000" w:sz="4" w:space="0"/>
              <w:bottom w:val="single" w:color="000000" w:sz="4" w:space="0"/>
              <w:right w:val="single" w:color="000000" w:sz="8" w:space="0"/>
            </w:tcBorders>
            <w:tcW w:w="1452"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67" w:hRule="exact"/>
        </w:trPr>
        <w:tc>
          <w:tcPr>
            <w:tcBorders>
              <w:top w:val="single" w:color="000000" w:sz="4" w:space="0"/>
              <w:left w:val="single" w:color="000000" w:sz="8" w:space="0"/>
              <w:bottom w:val="single" w:color="000000" w:sz="4" w:space="0"/>
              <w:right w:val="single" w:color="000000" w:sz="4" w:space="0"/>
            </w:tcBorders>
            <w:tcW w:w="1404" w:type="dxa"/>
            <w:vAlign w:val="center"/>
            <w:textDirection w:val="lrTb"/>
            <w:noWrap/>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液晶显示器</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single" w:color="000000" w:sz="4" w:space="0"/>
              <w:bottom w:val="single" w:color="000000" w:sz="4" w:space="0"/>
              <w:right w:val="single" w:color="000000" w:sz="8" w:space="0"/>
            </w:tcBorders>
            <w:tcW w:w="1452"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67" w:hRule="exact"/>
        </w:trPr>
        <w:tc>
          <w:tcPr>
            <w:tcBorders>
              <w:top w:val="single" w:color="000000" w:sz="4" w:space="0"/>
              <w:left w:val="single" w:color="000000" w:sz="8" w:space="0"/>
              <w:bottom w:val="single" w:color="000000" w:sz="4" w:space="0"/>
              <w:right w:val="single" w:color="000000" w:sz="4" w:space="0"/>
            </w:tcBorders>
            <w:tcW w:w="1404" w:type="dxa"/>
            <w:vAlign w:val="center"/>
            <w:textDirection w:val="lrTb"/>
            <w:noWrap/>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LED医用内窥镜冷光源</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single" w:color="000000" w:sz="4" w:space="0"/>
              <w:bottom w:val="single" w:color="000000" w:sz="4" w:space="0"/>
              <w:right w:val="single" w:color="000000" w:sz="8" w:space="0"/>
            </w:tcBorders>
            <w:tcW w:w="1452"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67" w:hRule="exact"/>
        </w:trPr>
        <w:tc>
          <w:tcPr>
            <w:tcBorders>
              <w:top w:val="single" w:color="000000" w:sz="4" w:space="0"/>
              <w:left w:val="single" w:color="000000" w:sz="8" w:space="0"/>
              <w:bottom w:val="single" w:color="000000" w:sz="4" w:space="0"/>
              <w:right w:val="single" w:color="000000" w:sz="4" w:space="0"/>
            </w:tcBorders>
            <w:tcW w:w="1404" w:type="dxa"/>
            <w:vAlign w:val="center"/>
            <w:textDirection w:val="lrTb"/>
            <w:noWrap/>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导光束</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根</w:t>
            </w:r>
            <w:r/>
          </w:p>
        </w:tc>
        <w:tc>
          <w:tcPr>
            <w:tcBorders>
              <w:top w:val="single" w:color="000000" w:sz="4" w:space="0"/>
              <w:left w:val="single" w:color="000000" w:sz="4" w:space="0"/>
              <w:bottom w:val="single" w:color="000000" w:sz="4" w:space="0"/>
              <w:right w:val="single" w:color="000000" w:sz="8" w:space="0"/>
            </w:tcBorders>
            <w:tcW w:w="1452"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r>
      <w:tr>
        <w:trPr>
          <w:jc w:val="center"/>
          <w:trHeight w:val="567" w:hRule="exact"/>
        </w:trPr>
        <w:tc>
          <w:tcPr>
            <w:tcBorders>
              <w:top w:val="single" w:color="000000" w:sz="4" w:space="0"/>
              <w:left w:val="single" w:color="000000" w:sz="8" w:space="0"/>
              <w:bottom w:val="single" w:color="auto" w:sz="4" w:space="0"/>
              <w:right w:val="single" w:color="000000" w:sz="4" w:space="0"/>
            </w:tcBorders>
            <w:tcW w:w="1404" w:type="dxa"/>
            <w:vAlign w:val="center"/>
            <w:textDirection w:val="lrTb"/>
            <w:noWrap/>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auto" w:sz="4" w:space="0"/>
              <w:right w:val="single" w:color="000000"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台车</w:t>
            </w:r>
            <w:r/>
          </w:p>
        </w:tc>
        <w:tc>
          <w:tcPr>
            <w:tcBorders>
              <w:top w:val="single" w:color="000000" w:sz="4" w:space="0"/>
              <w:left w:val="single" w:color="000000" w:sz="4" w:space="0"/>
              <w:bottom w:val="single" w:color="auto" w:sz="4" w:space="0"/>
              <w:right w:val="single" w:color="000000"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single" w:color="000000" w:sz="4" w:space="0"/>
              <w:bottom w:val="single" w:color="auto" w:sz="4" w:space="0"/>
              <w:right w:val="single" w:color="000000" w:sz="8" w:space="0"/>
            </w:tcBorders>
            <w:tcW w:w="1452"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67" w:hRule="exact"/>
        </w:trPr>
        <w:tc>
          <w:tcPr>
            <w:tcBorders>
              <w:top w:val="single" w:color="000000" w:sz="4" w:space="0"/>
              <w:left w:val="single" w:color="000000" w:sz="8" w:space="0"/>
              <w:bottom w:val="single" w:color="auto" w:sz="4" w:space="0"/>
              <w:right w:val="single" w:color="000000" w:sz="4" w:space="0"/>
            </w:tcBorders>
            <w:tcW w:w="1404" w:type="dxa"/>
            <w:vAlign w:val="center"/>
            <w:textDirection w:val="lrTb"/>
            <w:noWrap/>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auto" w:sz="4" w:space="0"/>
              <w:right w:val="single" w:color="000000"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等离子电切手术系统</w:t>
            </w:r>
            <w:r/>
          </w:p>
        </w:tc>
        <w:tc>
          <w:tcPr>
            <w:tcBorders>
              <w:top w:val="single" w:color="000000" w:sz="4" w:space="0"/>
              <w:left w:val="single" w:color="000000" w:sz="4" w:space="0"/>
              <w:bottom w:val="single" w:color="auto" w:sz="4" w:space="0"/>
              <w:right w:val="single" w:color="000000"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single" w:color="000000" w:sz="4" w:space="0"/>
              <w:bottom w:val="single" w:color="auto" w:sz="4" w:space="0"/>
              <w:right w:val="single" w:color="000000" w:sz="8" w:space="0"/>
            </w:tcBorders>
            <w:tcW w:w="1452"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67" w:hRule="exact"/>
        </w:trPr>
        <w:tc>
          <w:tcPr>
            <w:tcBorders>
              <w:top w:val="single" w:color="000000" w:sz="4" w:space="0"/>
              <w:left w:val="single" w:color="000000" w:sz="8" w:space="0"/>
              <w:bottom w:val="single" w:color="auto" w:sz="4" w:space="0"/>
              <w:right w:val="single" w:color="000000" w:sz="4" w:space="0"/>
            </w:tcBorders>
            <w:tcW w:w="1404" w:type="dxa"/>
            <w:vAlign w:val="center"/>
            <w:textDirection w:val="lrTb"/>
            <w:noWrap/>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auto" w:sz="4" w:space="0"/>
              <w:right w:val="single" w:color="000000"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内窥镜子宫膨腔泵</w:t>
            </w:r>
            <w:r/>
          </w:p>
        </w:tc>
        <w:tc>
          <w:tcPr>
            <w:tcBorders>
              <w:top w:val="single" w:color="000000" w:sz="4" w:space="0"/>
              <w:left w:val="single" w:color="000000" w:sz="4" w:space="0"/>
              <w:bottom w:val="single" w:color="auto" w:sz="4" w:space="0"/>
              <w:right w:val="single" w:color="000000"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Borders>
              <w:top w:val="single" w:color="000000" w:sz="4" w:space="0"/>
              <w:left w:val="single" w:color="000000" w:sz="4" w:space="0"/>
              <w:bottom w:val="single" w:color="auto" w:sz="4" w:space="0"/>
              <w:right w:val="single" w:color="000000" w:sz="8" w:space="0"/>
            </w:tcBorders>
            <w:tcW w:w="1452"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67" w:hRule="exact"/>
        </w:trPr>
        <w:tc>
          <w:tcPr>
            <w:gridSpan w:val="4"/>
            <w:shd w:val="clear" w:color="auto" w:fill="auto"/>
            <w:tcBorders>
              <w:top w:val="single" w:color="auto" w:sz="4" w:space="0"/>
              <w:left w:val="single" w:color="auto" w:sz="4" w:space="0"/>
              <w:bottom w:val="single" w:color="auto" w:sz="4" w:space="0"/>
              <w:right w:val="single" w:color="auto" w:sz="4" w:space="0"/>
            </w:tcBorders>
            <w:tcW w:w="8698"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4"/>
                <w:szCs w:val="24"/>
              </w:rPr>
            </w:pPr>
            <w:r/>
            <w:bookmarkStart w:id="197" w:name="OLE_LINK5"/>
            <w:r/>
            <w:bookmarkStart w:id="198" w:name="OLE_LINK4"/>
            <w:r>
              <w:rPr>
                <w:rFonts w:hint="eastAsia" w:ascii="宋体" w:hAnsi="宋体" w:eastAsia="宋体" w:cs="宋体"/>
                <w:sz w:val="24"/>
                <w:szCs w:val="24"/>
              </w:rPr>
              <w:t xml:space="preserve">宫腔一体镜及配套手术器械</w:t>
            </w:r>
            <w:bookmarkEnd w:id="197"/>
            <w:r/>
            <w:bookmarkEnd w:id="198"/>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宫腔镜（一体镜）</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宫腔镜配套手术器械（剪刀）</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把</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13</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宫腔镜配套手术器械（异物钳）</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把</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13</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宫腔镜配套手术器械（活检钳）</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把</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13</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专用内窥镜消毒盒</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r>
      <w:tr>
        <w:trPr>
          <w:jc w:val="center"/>
          <w:trHeight w:val="567" w:hRule="exact"/>
        </w:trPr>
        <w:tc>
          <w:tcPr>
            <w:gridSpan w:val="4"/>
            <w:shd w:val="clear" w:color="auto" w:fill="auto"/>
            <w:tcBorders>
              <w:top w:val="single" w:color="auto" w:sz="4" w:space="0"/>
              <w:left w:val="single" w:color="auto" w:sz="4" w:space="0"/>
              <w:bottom w:val="single" w:color="auto" w:sz="4" w:space="0"/>
              <w:right w:val="single" w:color="auto" w:sz="4" w:space="0"/>
            </w:tcBorders>
            <w:tcW w:w="86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冷刀宫腔镜及配套手术器械</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宫腔镜（冷刀）</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宫腔镜配套手术器械（单开剪刀）</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bookmarkStart w:id="199" w:name="OLE_LINK1"/>
            <w:r>
              <w:rPr>
                <w:rFonts w:hint="eastAsia" w:ascii="宋体" w:hAnsi="宋体" w:eastAsia="宋体" w:cs="宋体"/>
                <w:sz w:val="24"/>
                <w:szCs w:val="24"/>
              </w:rPr>
              <w:t xml:space="preserve">把</w:t>
            </w:r>
            <w:bookmarkEnd w:id="199"/>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宫腔镜配套手术器械（双开剪刀）</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把</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宫腔镜配套手术器械(弯剪刀）</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把</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宫腔镜配套手术器械（钩剪刀）</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把</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宫腔镜配套手术器械（弯分离钳）</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把</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宫腔镜配套手术器械（活检钳）</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把</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宫腔镜配套手术器械（大型抓钳）</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把</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宫腔镜配套手术器械（重型抓钳）</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把</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高频手术电极（钩状电极）</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高频手术电极（棒状电极）</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bookmarkStart w:id="200" w:name="OLE_LINK6"/>
            <w:r>
              <w:rPr>
                <w:rFonts w:hint="eastAsia" w:ascii="宋体" w:hAnsi="宋体" w:eastAsia="宋体" w:cs="宋体"/>
                <w:sz w:val="24"/>
                <w:szCs w:val="24"/>
              </w:rPr>
              <w:t xml:space="preserve">根</w:t>
            </w:r>
            <w:bookmarkEnd w:id="200"/>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腹腔镜手术器械（持针钳）</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把</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专用内窥镜器械消毒盒</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567" w:hRule="exact"/>
        </w:trPr>
        <w:tc>
          <w:tcPr>
            <w:gridSpan w:val="4"/>
            <w:shd w:val="clear" w:color="auto" w:fill="auto"/>
            <w:tcBorders>
              <w:top w:val="single" w:color="auto" w:sz="4" w:space="0"/>
              <w:left w:val="single" w:color="auto" w:sz="4" w:space="0"/>
              <w:bottom w:val="single" w:color="auto" w:sz="4" w:space="0"/>
              <w:right w:val="single" w:color="auto" w:sz="4" w:space="0"/>
            </w:tcBorders>
            <w:tcW w:w="86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宫腔电切镜及配套手术器械</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jc w:val="center"/>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宫腔电切内窥镜及附件(内窥镜)</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ind w:firstLine="420"/>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bookmarkStart w:id="201" w:name="OLE_LINK30"/>
            <w:r/>
            <w:bookmarkStart w:id="202" w:name="OLE_LINK31"/>
            <w:r>
              <w:rPr>
                <w:rFonts w:hint="eastAsia" w:ascii="宋体" w:hAnsi="宋体" w:eastAsia="宋体" w:cs="宋体"/>
                <w:sz w:val="24"/>
                <w:szCs w:val="24"/>
              </w:rPr>
              <w:t xml:space="preserve">宫腔电切内窥镜及附件</w:t>
            </w:r>
            <w:bookmarkEnd w:id="201"/>
            <w:r/>
            <w:bookmarkEnd w:id="202"/>
            <w:r>
              <w:rPr>
                <w:rFonts w:hint="eastAsia" w:ascii="宋体" w:hAnsi="宋体" w:eastAsia="宋体" w:cs="宋体"/>
                <w:sz w:val="24"/>
                <w:szCs w:val="24"/>
              </w:rPr>
              <w:t xml:space="preserve">（操作器）</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把</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ind w:firstLine="420"/>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宫腔电切内窥镜及附件（外鞘）</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把</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ind w:firstLine="420"/>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宫腔电切内窥镜及附件（内鞘（含闭孔器））</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把</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ind w:firstLine="420"/>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宫腔电切内窥镜及附件（手术电极）</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10</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ind w:firstLine="420"/>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宫腔电切内窥镜及附件（高频连接线）</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r>
      <w:tr>
        <w:trPr>
          <w:jc w:val="center"/>
          <w:trHeight w:val="577" w:hRule="exact"/>
        </w:trPr>
        <w:tc>
          <w:tcPr>
            <w:shd w:val="clear" w:color="auto" w:fill="auto"/>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numPr>
                <w:ilvl w:val="0"/>
                <w:numId w:val="5"/>
              </w:numPr>
              <w:ind w:firstLine="420"/>
              <w:keepLines w:val="0"/>
              <w:keepNext w:val="0"/>
              <w:pageBreakBefore w:val="0"/>
              <w:spacing w:line="24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06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专用内窥镜消毒盒</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bookmarkEnd w:id="194"/>
            <w:r/>
            <w:bookmarkEnd w:id="195"/>
            <w:r/>
            <w:bookmarkEnd w:id="196"/>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★二、技术要求</w:t>
      </w:r>
      <w:r>
        <w:rPr>
          <w:rFonts w:hint="eastAsia" w:ascii="宋体" w:hAnsi="宋体" w:eastAsia="宋体" w:cs="宋体"/>
          <w:b/>
          <w:bCs/>
          <w:sz w:val="24"/>
          <w:szCs w:val="24"/>
          <w:lang w:eastAsia="zh-CN"/>
        </w:rPr>
        <w:t xml:space="preserve">：</w:t>
      </w:r>
      <w:r/>
    </w:p>
    <w:tbl>
      <w:tblPr>
        <w:tblStyle w:val="729"/>
        <w:tblW w:w="8570" w:type="dxa"/>
        <w:jc w:val="center"/>
        <w:tblLayout w:type="autofit"/>
        <w:tblCellMar>
          <w:left w:w="108" w:type="dxa"/>
          <w:top w:w="0" w:type="dxa"/>
          <w:right w:w="108" w:type="dxa"/>
          <w:bottom w:w="0" w:type="dxa"/>
        </w:tblCellMar>
        <w:tblLook w:val="04A0" w:firstRow="1" w:lastRow="0" w:firstColumn="1" w:lastColumn="0" w:noHBand="0" w:noVBand="1"/>
      </w:tblPr>
      <w:tblGrid>
        <w:gridCol w:w="704"/>
        <w:gridCol w:w="7866"/>
      </w:tblGrid>
      <w:tr>
        <w:trPr>
          <w:jc w:val="center"/>
          <w:trHeight w:val="170"/>
        </w:trPr>
        <w:tc>
          <w:tcPr>
            <w:tcBorders>
              <w:top w:val="single" w:color="auto" w:sz="4" w:space="0"/>
              <w:left w:val="single" w:color="auto" w:sz="4" w:space="0"/>
              <w:bottom w:val="none" w:color="000000" w:sz="4" w:space="0"/>
              <w:right w:val="none" w:color="000000" w:sz="4" w:space="0"/>
            </w:tcBorders>
            <w:tcW w:w="704" w:type="dxa"/>
            <w:vAlign w:val="center"/>
            <w:textDirection w:val="lrTb"/>
            <w:noWrap/>
          </w:tcPr>
          <w:p>
            <w:pPr>
              <w:jc w:val="center"/>
              <w:widowControl/>
              <w:rPr>
                <w:b/>
                <w:sz w:val="24"/>
                <w:szCs w:val="24"/>
              </w:rPr>
            </w:pPr>
            <w:r/>
            <w:bookmarkStart w:id="203" w:name="_Hlk211332959"/>
            <w:r/>
            <w:bookmarkStart w:id="204" w:name="OLE_LINK32"/>
            <w:r/>
            <w:bookmarkStart w:id="205" w:name="OLE_LINK33"/>
            <w:r>
              <w:rPr>
                <w:rFonts w:hint="eastAsia"/>
                <w:b/>
                <w:sz w:val="24"/>
                <w:szCs w:val="24"/>
              </w:rPr>
              <w:t xml:space="preserve">序号</w:t>
            </w:r>
            <w:r/>
          </w:p>
        </w:tc>
        <w:tc>
          <w:tcPr>
            <w:tcBorders>
              <w:top w:val="single" w:color="auto" w:sz="4" w:space="0"/>
              <w:left w:val="single" w:color="auto" w:sz="4" w:space="0"/>
              <w:bottom w:val="none" w:color="000000" w:sz="4" w:space="0"/>
              <w:right w:val="single" w:color="auto" w:sz="4" w:space="0"/>
            </w:tcBorders>
            <w:tcW w:w="7866" w:type="dxa"/>
            <w:vAlign w:val="center"/>
            <w:textDirection w:val="lrTb"/>
            <w:noWrap w:val="false"/>
          </w:tcPr>
          <w:p>
            <w:pPr>
              <w:jc w:val="center"/>
              <w:widowControl/>
              <w:rPr>
                <w:b/>
                <w:sz w:val="24"/>
                <w:szCs w:val="24"/>
              </w:rPr>
            </w:pPr>
            <w:r>
              <w:rPr>
                <w:rFonts w:hint="eastAsia"/>
                <w:b/>
                <w:sz w:val="24"/>
                <w:szCs w:val="24"/>
              </w:rPr>
              <w:t xml:space="preserve">技术参数要求</w:t>
            </w:r>
            <w:r/>
          </w:p>
        </w:tc>
      </w:tr>
      <w:tr>
        <w:trPr>
          <w:jc w:val="center"/>
          <w:trHeight w:val="170"/>
        </w:trPr>
        <w:tc>
          <w:tcPr>
            <w:gridSpan w:val="2"/>
            <w:tcBorders>
              <w:top w:val="single" w:color="auto" w:sz="4" w:space="0"/>
              <w:left w:val="single" w:color="auto" w:sz="4" w:space="0"/>
              <w:bottom w:val="single" w:color="auto" w:sz="4" w:space="0"/>
              <w:right w:val="single" w:color="auto" w:sz="4" w:space="0"/>
            </w:tcBorders>
            <w:tcW w:w="8570" w:type="dxa"/>
            <w:vAlign w:val="center"/>
            <w:textDirection w:val="lrTb"/>
            <w:noWrap/>
          </w:tcPr>
          <w:p>
            <w:pPr>
              <w:rPr>
                <w:rFonts w:hint="eastAsia"/>
                <w:sz w:val="24"/>
                <w:szCs w:val="24"/>
              </w:rPr>
            </w:pPr>
            <w:r>
              <w:rPr>
                <w:rFonts w:hint="eastAsia"/>
                <w:b/>
                <w:sz w:val="24"/>
                <w:szCs w:val="24"/>
              </w:rPr>
              <w:t xml:space="preserve">一、</w:t>
            </w:r>
            <w:r>
              <w:rPr>
                <w:b/>
                <w:sz w:val="24"/>
                <w:szCs w:val="24"/>
              </w:rPr>
              <w:t xml:space="preserve">医用内窥镜图像处理系统（含图像处理器主机和摄像头）</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1.</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摄像主机高清图像，输出分辨率≥1920×1080，60Hz动态图像；</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2.</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tcPr>
          <w:p>
            <w:pPr>
              <w:rPr>
                <w:rFonts w:hint="eastAsia"/>
                <w:sz w:val="24"/>
                <w:szCs w:val="24"/>
              </w:rPr>
            </w:pPr>
            <w:r>
              <w:rPr>
                <w:rFonts w:hint="eastAsia"/>
                <w:sz w:val="24"/>
                <w:szCs w:val="24"/>
              </w:rPr>
              <w:t xml:space="preserve">摄像主机内置USB接口，具备USB移动设备识别功能，实时进行高清刻录和图片采集，可显示移动设备状态和剩余内存空间；</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3.</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摄像主机具有自动追踪白平衡功能和一键自动白平衡功能；</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4.</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tcPr>
          <w:p>
            <w:pPr>
              <w:rPr>
                <w:rFonts w:hint="eastAsia"/>
                <w:sz w:val="24"/>
                <w:szCs w:val="24"/>
              </w:rPr>
            </w:pPr>
            <w:r>
              <w:rPr>
                <w:rFonts w:hint="eastAsia"/>
                <w:sz w:val="24"/>
                <w:szCs w:val="24"/>
              </w:rPr>
              <w:t xml:space="preserve">摄像主机具有数字降噪功能；</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5.</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摄像主机具有去摩尔纹功能；</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6.</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摄像主机具有细节边缘增强功能；</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rFonts w:hint="eastAsia"/>
                <w:sz w:val="24"/>
                <w:szCs w:val="24"/>
              </w:rPr>
            </w:pPr>
            <w:r>
              <w:rPr>
                <w:rFonts w:hint="eastAsia"/>
                <w:sz w:val="24"/>
                <w:szCs w:val="24"/>
              </w:rPr>
              <w:t xml:space="preserve">7.</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tcPr>
          <w:p>
            <w:pPr>
              <w:rPr>
                <w:rFonts w:hint="eastAsia"/>
                <w:sz w:val="24"/>
                <w:szCs w:val="24"/>
              </w:rPr>
            </w:pPr>
            <w:r>
              <w:rPr>
                <w:rFonts w:hint="eastAsia"/>
                <w:sz w:val="24"/>
                <w:szCs w:val="24"/>
              </w:rPr>
              <w:t xml:space="preserve">摄像主机信号输出方式</w:t>
            </w:r>
            <w:r>
              <w:rPr>
                <w:rFonts w:hint="eastAsia"/>
                <w:sz w:val="24"/>
                <w:szCs w:val="24"/>
                <w:lang w:val="en-US" w:eastAsia="zh-CN"/>
              </w:rPr>
              <w:t xml:space="preserve">至少</w:t>
            </w:r>
            <w:r>
              <w:rPr>
                <w:rFonts w:hint="eastAsia"/>
                <w:sz w:val="24"/>
                <w:szCs w:val="24"/>
              </w:rPr>
              <w:t xml:space="preserve">包括3G-SDI、HDMI，输出端口≥3个，满足医院多显示器需求；</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rFonts w:hint="eastAsia"/>
                <w:sz w:val="24"/>
                <w:szCs w:val="24"/>
              </w:rPr>
            </w:pPr>
            <w:r>
              <w:rPr>
                <w:rFonts w:hint="eastAsia"/>
                <w:sz w:val="24"/>
                <w:szCs w:val="24"/>
              </w:rPr>
              <w:t xml:space="preserve">8.</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摄像头≥IPX7级防水，摄像头支持浸泡消毒、低温等离子消毒及环氧乙烷消毒；</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rPr>
                <w:rFonts w:hint="eastAsia"/>
                <w:sz w:val="24"/>
                <w:szCs w:val="24"/>
              </w:rPr>
            </w:pPr>
            <w:r>
              <w:rPr>
                <w:rFonts w:hint="eastAsia"/>
                <w:sz w:val="24"/>
                <w:szCs w:val="24"/>
              </w:rPr>
              <w:t xml:space="preserve">9.</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val="false"/>
          </w:tcPr>
          <w:p>
            <w:pPr>
              <w:rPr>
                <w:rFonts w:hint="eastAsia" w:eastAsia="宋体"/>
                <w:sz w:val="24"/>
                <w:szCs w:val="24"/>
                <w:lang w:eastAsia="zh-CN"/>
              </w:rPr>
            </w:pPr>
            <w:r>
              <w:rPr>
                <w:rFonts w:hint="eastAsia"/>
                <w:sz w:val="24"/>
                <w:szCs w:val="24"/>
                <w:highlight w:val="none"/>
              </w:rPr>
              <w:t xml:space="preserve">摄像头具备光学或电子变焦，且最大总变焦倍数≥5倍； </w:t>
            </w:r>
            <w:r/>
          </w:p>
        </w:tc>
      </w:tr>
      <w:tr>
        <w:trPr>
          <w:jc w:val="center"/>
          <w:trHeight w:val="170"/>
        </w:trPr>
        <w:tc>
          <w:tcPr>
            <w:gridSpan w:val="2"/>
            <w:tcBorders>
              <w:top w:val="none" w:color="000000" w:sz="4" w:space="0"/>
              <w:left w:val="single" w:color="auto" w:sz="4" w:space="0"/>
              <w:bottom w:val="single" w:color="auto" w:sz="4" w:space="0"/>
              <w:right w:val="single" w:color="auto" w:sz="4" w:space="0"/>
            </w:tcBorders>
            <w:tcW w:w="8570" w:type="dxa"/>
            <w:vAlign w:val="center"/>
            <w:textDirection w:val="lrTb"/>
            <w:noWrap/>
          </w:tcPr>
          <w:p>
            <w:pPr>
              <w:rPr>
                <w:rFonts w:hint="eastAsia"/>
                <w:sz w:val="24"/>
                <w:szCs w:val="24"/>
              </w:rPr>
            </w:pPr>
            <w:r>
              <w:rPr>
                <w:rFonts w:hint="eastAsia"/>
                <w:b/>
                <w:sz w:val="24"/>
                <w:szCs w:val="24"/>
              </w:rPr>
              <w:t xml:space="preserve">二、</w:t>
            </w:r>
            <w:r>
              <w:rPr>
                <w:b/>
                <w:sz w:val="24"/>
                <w:szCs w:val="24"/>
              </w:rPr>
              <w:t xml:space="preserve">液晶显示器</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1.</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分辨率：≥3840×2160；</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2.</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tcPr>
          <w:p>
            <w:pPr>
              <w:rPr>
                <w:rFonts w:hint="eastAsia"/>
                <w:sz w:val="24"/>
                <w:szCs w:val="24"/>
              </w:rPr>
            </w:pPr>
            <w:r>
              <w:rPr>
                <w:rFonts w:hint="eastAsia"/>
                <w:sz w:val="24"/>
                <w:szCs w:val="24"/>
              </w:rPr>
              <w:t xml:space="preserve">显示器尺寸：≥32英寸；</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3.</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tcPr>
          <w:p>
            <w:pPr>
              <w:rPr>
                <w:rFonts w:hint="eastAsia"/>
                <w:sz w:val="24"/>
                <w:szCs w:val="24"/>
              </w:rPr>
            </w:pPr>
            <w:r>
              <w:rPr>
                <w:rFonts w:hint="eastAsia"/>
                <w:sz w:val="24"/>
                <w:szCs w:val="24"/>
              </w:rPr>
              <w:t xml:space="preserve">输入信号接口包含：3G-SDI*4、12G-SDI*1、DP*1、DVI*1、HDMI*1；</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4.</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val="false"/>
          </w:tcPr>
          <w:p>
            <w:pPr>
              <w:rPr>
                <w:sz w:val="24"/>
                <w:szCs w:val="24"/>
              </w:rPr>
            </w:pPr>
            <w:r>
              <w:rPr>
                <w:rFonts w:hint="eastAsia"/>
                <w:sz w:val="24"/>
                <w:szCs w:val="24"/>
              </w:rPr>
              <w:t xml:space="preserve">输出信号接口包含：12G-SDI*1、DVI*1；</w:t>
            </w:r>
            <w:r/>
          </w:p>
        </w:tc>
      </w:tr>
      <w:tr>
        <w:trPr>
          <w:jc w:val="center"/>
          <w:trHeight w:val="170"/>
        </w:trPr>
        <w:tc>
          <w:tcPr>
            <w:gridSpan w:val="2"/>
            <w:tcBorders>
              <w:top w:val="none" w:color="000000" w:sz="4" w:space="0"/>
              <w:left w:val="single" w:color="auto" w:sz="4" w:space="0"/>
              <w:bottom w:val="single" w:color="auto" w:sz="4" w:space="0"/>
              <w:right w:val="single" w:color="auto" w:sz="4" w:space="0"/>
            </w:tcBorders>
            <w:tcW w:w="8570" w:type="dxa"/>
            <w:vAlign w:val="center"/>
            <w:textDirection w:val="lrTb"/>
            <w:noWrap/>
          </w:tcPr>
          <w:p>
            <w:pPr>
              <w:rPr>
                <w:rFonts w:hint="eastAsia"/>
                <w:sz w:val="24"/>
                <w:szCs w:val="24"/>
              </w:rPr>
            </w:pPr>
            <w:r/>
            <w:bookmarkStart w:id="206" w:name="OLE_LINK44"/>
            <w:r>
              <w:rPr>
                <w:rFonts w:hint="eastAsia"/>
                <w:b/>
                <w:sz w:val="24"/>
                <w:szCs w:val="24"/>
              </w:rPr>
              <w:t xml:space="preserve">三、</w:t>
            </w:r>
            <w:r>
              <w:rPr>
                <w:b/>
                <w:sz w:val="24"/>
                <w:szCs w:val="24"/>
              </w:rPr>
              <w:t xml:space="preserve">LED医用内窥镜冷光源</w:t>
            </w:r>
            <w:bookmarkEnd w:id="206"/>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1.</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使用寿命为≥ 20000小时；</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2.</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tcPr>
          <w:p>
            <w:pPr>
              <w:rPr>
                <w:rFonts w:hint="eastAsia"/>
                <w:sz w:val="24"/>
                <w:szCs w:val="24"/>
              </w:rPr>
            </w:pPr>
            <w:r>
              <w:rPr>
                <w:rFonts w:hint="eastAsia"/>
                <w:sz w:val="24"/>
                <w:szCs w:val="24"/>
              </w:rPr>
              <w:t xml:space="preserve">色温≥ 5000k，无杂光；</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3.</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tcPr>
          <w:p>
            <w:pPr>
              <w:rPr>
                <w:rFonts w:hint="eastAsia"/>
                <w:sz w:val="24"/>
                <w:szCs w:val="24"/>
              </w:rPr>
            </w:pPr>
            <w:r>
              <w:rPr>
                <w:rFonts w:hint="eastAsia"/>
                <w:sz w:val="24"/>
                <w:szCs w:val="24"/>
                <w:lang w:val="en-US" w:eastAsia="zh-CN"/>
              </w:rPr>
              <w:t xml:space="preserve">输出</w:t>
            </w:r>
            <w:r>
              <w:rPr>
                <w:rFonts w:hint="eastAsia"/>
                <w:sz w:val="24"/>
                <w:szCs w:val="24"/>
              </w:rPr>
              <w:t xml:space="preserve">光通量≥ 900lm；</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4.</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tcPr>
          <w:p>
            <w:pPr>
              <w:rPr>
                <w:rFonts w:hint="eastAsia"/>
                <w:sz w:val="24"/>
                <w:szCs w:val="24"/>
              </w:rPr>
            </w:pPr>
            <w:r>
              <w:rPr>
                <w:rFonts w:hint="eastAsia"/>
                <w:sz w:val="24"/>
                <w:szCs w:val="24"/>
              </w:rPr>
              <w:t xml:space="preserve">光源亮度调节范围0%</w:t>
            </w:r>
            <w:r>
              <w:rPr>
                <w:rFonts w:hint="eastAsia"/>
                <w:sz w:val="24"/>
                <w:szCs w:val="24"/>
                <w:highlight w:val="none"/>
              </w:rPr>
              <w:t xml:space="preserve">～</w:t>
            </w:r>
            <w:r>
              <w:rPr>
                <w:rFonts w:hint="eastAsia"/>
                <w:sz w:val="24"/>
                <w:szCs w:val="24"/>
              </w:rPr>
              <w:t xml:space="preserve">100%；</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5.</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val="false"/>
          </w:tcPr>
          <w:p>
            <w:pPr>
              <w:rPr>
                <w:sz w:val="24"/>
                <w:szCs w:val="24"/>
              </w:rPr>
            </w:pPr>
            <w:r>
              <w:rPr>
                <w:rFonts w:hint="eastAsia"/>
                <w:sz w:val="24"/>
                <w:szCs w:val="24"/>
              </w:rPr>
              <w:t xml:space="preserve">最大噪声≤ 55dB；</w:t>
            </w:r>
            <w:r/>
          </w:p>
        </w:tc>
      </w:tr>
      <w:tr>
        <w:trPr>
          <w:jc w:val="center"/>
          <w:trHeight w:val="170"/>
        </w:trPr>
        <w:tc>
          <w:tcPr>
            <w:gridSpan w:val="2"/>
            <w:tcBorders>
              <w:top w:val="none" w:color="000000" w:sz="4" w:space="0"/>
              <w:left w:val="single" w:color="auto" w:sz="4" w:space="0"/>
              <w:bottom w:val="single" w:color="auto" w:sz="4" w:space="0"/>
              <w:right w:val="single" w:color="auto" w:sz="4" w:space="0"/>
            </w:tcBorders>
            <w:tcW w:w="8570" w:type="dxa"/>
            <w:vAlign w:val="center"/>
            <w:textDirection w:val="lrTb"/>
            <w:noWrap/>
          </w:tcPr>
          <w:p>
            <w:pPr>
              <w:rPr>
                <w:rFonts w:hint="eastAsia"/>
                <w:sz w:val="24"/>
                <w:szCs w:val="24"/>
              </w:rPr>
            </w:pPr>
            <w:r>
              <w:rPr>
                <w:rFonts w:hint="eastAsia"/>
                <w:b/>
                <w:sz w:val="24"/>
                <w:szCs w:val="24"/>
              </w:rPr>
              <w:t xml:space="preserve">四、等离子电切手术系统</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1.</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等离子手术设备，适用于妇科宫腔电切手术；</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2.</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可匹配我院现有品牌电切电极使用（奥林巴斯或至诚得道）；</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3.</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具有等离子双极电切和电凝的手术功能；</w:t>
            </w:r>
            <w:r/>
          </w:p>
        </w:tc>
      </w:tr>
      <w:tr>
        <w:trPr>
          <w:jc w:val="center"/>
          <w:trHeight w:val="170"/>
        </w:trPr>
        <w:tc>
          <w:tcPr>
            <w:tcBorders>
              <w:top w:val="none" w:color="000000"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4.</w:t>
            </w:r>
            <w:r/>
          </w:p>
        </w:tc>
        <w:tc>
          <w:tcPr>
            <w:tcBorders>
              <w:top w:val="none" w:color="000000"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能量输出功率≥ 10档可调；</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5.</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配备双踏板脚踏开关；</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lang w:val="en-US" w:eastAsia="zh-CN"/>
              </w:rPr>
              <w:t xml:space="preserve">6</w:t>
            </w:r>
            <w:r>
              <w:rPr>
                <w:rFonts w:hint="eastAsia"/>
                <w:sz w:val="24"/>
                <w:szCs w:val="24"/>
              </w:rPr>
              <w:t xml:space="preserve">.</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sz w:val="24"/>
                <w:szCs w:val="24"/>
              </w:rPr>
            </w:pPr>
            <w:r>
              <w:rPr>
                <w:rFonts w:hint="eastAsia"/>
                <w:sz w:val="24"/>
                <w:szCs w:val="24"/>
              </w:rPr>
              <w:t xml:space="preserve">防电击安全等级：I类CF型；</w:t>
            </w:r>
            <w:r/>
          </w:p>
        </w:tc>
      </w:tr>
      <w:tr>
        <w:trPr>
          <w:jc w:val="center"/>
          <w:trHeight w:val="170"/>
        </w:trPr>
        <w:tc>
          <w:tcPr>
            <w:gridSpan w:val="2"/>
            <w:tcBorders>
              <w:top w:val="single" w:color="auto" w:sz="4" w:space="0"/>
              <w:left w:val="single" w:color="auto" w:sz="4" w:space="0"/>
              <w:bottom w:val="single" w:color="auto" w:sz="4" w:space="0"/>
              <w:right w:val="single" w:color="auto" w:sz="4" w:space="0"/>
            </w:tcBorders>
            <w:tcW w:w="8570" w:type="dxa"/>
            <w:vAlign w:val="top"/>
            <w:textDirection w:val="lrTb"/>
            <w:noWrap/>
          </w:tcPr>
          <w:p>
            <w:pPr>
              <w:rPr>
                <w:rFonts w:hint="eastAsia"/>
                <w:sz w:val="24"/>
                <w:szCs w:val="24"/>
              </w:rPr>
            </w:pPr>
            <w:r>
              <w:rPr>
                <w:rFonts w:hint="eastAsia"/>
                <w:b/>
                <w:sz w:val="24"/>
                <w:szCs w:val="24"/>
              </w:rPr>
              <w:t xml:space="preserve">五、内窥镜子宫膨腔泵</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1.</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可显示预设值及相应的实时动态值，至少包含压力、流速；</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2.</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可调节预设压力，调节范围：15～150mmHg，压力控制精确；</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3.</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eastAsia="宋体"/>
                <w:sz w:val="24"/>
                <w:szCs w:val="24"/>
                <w:lang w:eastAsia="zh-CN"/>
              </w:rPr>
            </w:pPr>
            <w:r>
              <w:rPr>
                <w:rFonts w:hint="eastAsia"/>
                <w:sz w:val="24"/>
                <w:szCs w:val="24"/>
              </w:rPr>
              <w:t xml:space="preserve">可调节预设流速范围：50～500mL/min；</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4.</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sz w:val="24"/>
                <w:szCs w:val="24"/>
              </w:rPr>
            </w:pPr>
            <w:r>
              <w:rPr>
                <w:rFonts w:hint="eastAsia"/>
                <w:sz w:val="24"/>
                <w:szCs w:val="24"/>
              </w:rPr>
              <w:t xml:space="preserve">可实时显示液体泵入量；</w:t>
            </w:r>
            <w:r/>
          </w:p>
        </w:tc>
      </w:tr>
      <w:tr>
        <w:trPr>
          <w:jc w:val="center"/>
          <w:trHeight w:val="170"/>
        </w:trPr>
        <w:tc>
          <w:tcPr>
            <w:gridSpan w:val="2"/>
            <w:tcBorders>
              <w:top w:val="single" w:color="auto" w:sz="4" w:space="0"/>
              <w:left w:val="single" w:color="auto" w:sz="4" w:space="0"/>
              <w:bottom w:val="single" w:color="auto" w:sz="4" w:space="0"/>
              <w:right w:val="single" w:color="auto" w:sz="4" w:space="0"/>
            </w:tcBorders>
            <w:tcW w:w="8570" w:type="dxa"/>
            <w:vAlign w:val="center"/>
            <w:textDirection w:val="lrTb"/>
            <w:noWrap/>
          </w:tcPr>
          <w:p>
            <w:pPr>
              <w:rPr>
                <w:rFonts w:hint="eastAsia"/>
                <w:sz w:val="24"/>
                <w:szCs w:val="24"/>
              </w:rPr>
            </w:pPr>
            <w:r>
              <w:rPr>
                <w:rFonts w:hint="eastAsia"/>
                <w:b/>
                <w:sz w:val="24"/>
                <w:szCs w:val="24"/>
              </w:rPr>
              <w:t xml:space="preserve">六、</w:t>
            </w:r>
            <w:r>
              <w:rPr>
                <w:b/>
                <w:sz w:val="24"/>
                <w:szCs w:val="24"/>
              </w:rPr>
              <w:t xml:space="preserve">宫腔一体镜</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1.</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视场角：≥80°；</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2.</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具有7Fr的手术器械通道，在可视情况下手术操作；</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3.</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有效景深范围满足4mm</w:t>
            </w:r>
            <w:r>
              <w:rPr>
                <w:rFonts w:hint="eastAsia"/>
                <w:sz w:val="24"/>
                <w:szCs w:val="24"/>
                <w:highlight w:val="none"/>
              </w:rPr>
              <w:t xml:space="preserve">～</w:t>
            </w:r>
            <w:r>
              <w:rPr>
                <w:rFonts w:hint="eastAsia"/>
                <w:sz w:val="24"/>
                <w:szCs w:val="24"/>
              </w:rPr>
              <w:t xml:space="preserve">50mm；</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4.</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镜鞘一体，含无创末端，与内窥镜</w:t>
            </w:r>
            <w:r>
              <w:rPr>
                <w:rFonts w:hint="eastAsia"/>
                <w:sz w:val="24"/>
                <w:szCs w:val="24"/>
                <w:highlight w:val="none"/>
                <w:lang w:val="en-US" w:eastAsia="zh-CN"/>
              </w:rPr>
              <w:t xml:space="preserve">连</w:t>
            </w:r>
            <w:r>
              <w:rPr>
                <w:rFonts w:hint="eastAsia"/>
                <w:sz w:val="24"/>
                <w:szCs w:val="24"/>
                <w:highlight w:val="none"/>
              </w:rPr>
              <w:t xml:space="preserve">体设</w:t>
            </w:r>
            <w:r>
              <w:rPr>
                <w:rFonts w:hint="eastAsia"/>
                <w:sz w:val="24"/>
                <w:szCs w:val="24"/>
              </w:rPr>
              <w:t xml:space="preserve">计；</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5.</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防漏水设计，可自动闭合操作通道；</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6.</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插入部前端为圆滑无创设计，减少对宫颈口的损伤，方便进入宫腔；</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7.</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插入部工作长度≥180mm，插入部外径≤6.1mm，免扩宫；</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8.</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sz w:val="24"/>
                <w:szCs w:val="24"/>
              </w:rPr>
            </w:pPr>
            <w:r>
              <w:rPr>
                <w:rFonts w:hint="eastAsia"/>
                <w:sz w:val="24"/>
                <w:szCs w:val="24"/>
              </w:rPr>
              <w:t xml:space="preserve">可配备多种器械，至少包含剪刀、活检钳、异物钳，均可高温高压灭菌；</w:t>
            </w:r>
            <w:r/>
          </w:p>
        </w:tc>
      </w:tr>
      <w:tr>
        <w:trPr>
          <w:jc w:val="center"/>
          <w:trHeight w:val="170"/>
        </w:trPr>
        <w:tc>
          <w:tcPr>
            <w:gridSpan w:val="2"/>
            <w:tcBorders>
              <w:top w:val="single" w:color="auto" w:sz="4" w:space="0"/>
              <w:left w:val="single" w:color="auto" w:sz="4" w:space="0"/>
              <w:bottom w:val="single" w:color="auto" w:sz="4" w:space="0"/>
              <w:right w:val="single" w:color="auto" w:sz="4" w:space="0"/>
            </w:tcBorders>
            <w:tcW w:w="8570" w:type="dxa"/>
            <w:vAlign w:val="top"/>
            <w:textDirection w:val="lrTb"/>
            <w:noWrap/>
          </w:tcPr>
          <w:p>
            <w:pPr>
              <w:rPr>
                <w:rFonts w:hint="eastAsia"/>
                <w:sz w:val="24"/>
                <w:szCs w:val="24"/>
              </w:rPr>
            </w:pPr>
            <w:r>
              <w:rPr>
                <w:rFonts w:hint="eastAsia"/>
                <w:b/>
                <w:sz w:val="24"/>
                <w:szCs w:val="24"/>
              </w:rPr>
              <w:t xml:space="preserve">七、Z型（H型）冷刀宫腔镜</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rPr>
                <w:rFonts w:hint="eastAsia"/>
                <w:sz w:val="24"/>
                <w:szCs w:val="24"/>
              </w:rPr>
            </w:pPr>
            <w:r>
              <w:rPr>
                <w:rFonts w:hint="eastAsia"/>
                <w:sz w:val="24"/>
                <w:szCs w:val="24"/>
              </w:rPr>
              <w:t xml:space="preserve">1.</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平行视野宫腔镜，主镜工作长度≥180mm；</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rPr>
                <w:rFonts w:hint="eastAsia"/>
                <w:sz w:val="24"/>
                <w:szCs w:val="24"/>
              </w:rPr>
            </w:pPr>
            <w:r>
              <w:rPr>
                <w:rFonts w:hint="eastAsia"/>
                <w:sz w:val="24"/>
                <w:szCs w:val="24"/>
              </w:rPr>
              <w:t xml:space="preserve">2.</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镜体具有3mm手术器械通道，进水通道孔径≥1mm；</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rPr>
                <w:rFonts w:hint="eastAsia"/>
                <w:sz w:val="24"/>
                <w:szCs w:val="24"/>
              </w:rPr>
            </w:pPr>
            <w:r>
              <w:rPr>
                <w:rFonts w:hint="eastAsia"/>
                <w:sz w:val="24"/>
                <w:szCs w:val="24"/>
              </w:rPr>
              <w:t xml:space="preserve">3.</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视场角≥80°；</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rPr>
                <w:rFonts w:hint="eastAsia"/>
                <w:sz w:val="24"/>
                <w:szCs w:val="24"/>
              </w:rPr>
            </w:pPr>
            <w:r>
              <w:rPr>
                <w:rFonts w:hint="eastAsia"/>
                <w:sz w:val="24"/>
                <w:szCs w:val="24"/>
              </w:rPr>
              <w:t xml:space="preserve">4.</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采用蓝宝石镜面，进口光学玻璃晶棒、光纤、光锥，柱状晶体；</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rPr>
                <w:rFonts w:hint="eastAsia"/>
                <w:sz w:val="24"/>
                <w:szCs w:val="24"/>
              </w:rPr>
            </w:pPr>
            <w:r>
              <w:rPr>
                <w:rFonts w:hint="eastAsia"/>
                <w:sz w:val="24"/>
                <w:szCs w:val="24"/>
              </w:rPr>
              <w:t xml:space="preserve">5.</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外径≤7mm；</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rPr>
                <w:rFonts w:hint="eastAsia"/>
                <w:sz w:val="24"/>
                <w:szCs w:val="24"/>
              </w:rPr>
            </w:pPr>
            <w:r>
              <w:rPr>
                <w:rFonts w:hint="eastAsia"/>
                <w:sz w:val="24"/>
                <w:szCs w:val="24"/>
              </w:rPr>
              <w:t xml:space="preserve">6.</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进出水高通量设计，持续对流，保证手术视野清晰；</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rPr>
                <w:rFonts w:hint="eastAsia"/>
                <w:sz w:val="24"/>
                <w:szCs w:val="24"/>
              </w:rPr>
            </w:pPr>
            <w:r>
              <w:rPr>
                <w:rFonts w:hint="eastAsia"/>
                <w:sz w:val="24"/>
                <w:szCs w:val="24"/>
              </w:rPr>
              <w:t xml:space="preserve">7.</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sz w:val="24"/>
                <w:szCs w:val="24"/>
              </w:rPr>
            </w:pPr>
            <w:r>
              <w:rPr>
                <w:rFonts w:hint="eastAsia"/>
                <w:sz w:val="24"/>
                <w:szCs w:val="24"/>
              </w:rPr>
              <w:t xml:space="preserve">可配备多种器械，至少包括圆头弯剪刀、尖头单开直剪刀、尖头双开直剪刀、微型钩剪刀、弯分离钳、活检钳、重型抓钳、大型抓钳，均可高温高压灭菌；</w:t>
            </w:r>
            <w:r/>
          </w:p>
        </w:tc>
      </w:tr>
      <w:tr>
        <w:trPr>
          <w:jc w:val="center"/>
          <w:trHeight w:val="170"/>
        </w:trPr>
        <w:tc>
          <w:tcPr>
            <w:gridSpan w:val="2"/>
            <w:tcBorders>
              <w:top w:val="single" w:color="auto" w:sz="4" w:space="0"/>
              <w:left w:val="single" w:color="auto" w:sz="4" w:space="0"/>
              <w:bottom w:val="single" w:color="auto" w:sz="4" w:space="0"/>
              <w:right w:val="single" w:color="auto" w:sz="4" w:space="0"/>
            </w:tcBorders>
            <w:tcW w:w="8570" w:type="dxa"/>
            <w:vAlign w:val="top"/>
            <w:textDirection w:val="lrTb"/>
            <w:noWrap/>
          </w:tcPr>
          <w:p>
            <w:pPr>
              <w:rPr>
                <w:rFonts w:hint="eastAsia"/>
                <w:sz w:val="24"/>
                <w:szCs w:val="24"/>
              </w:rPr>
            </w:pPr>
            <w:r>
              <w:rPr>
                <w:rFonts w:hint="eastAsia"/>
                <w:b/>
                <w:sz w:val="24"/>
                <w:szCs w:val="24"/>
              </w:rPr>
              <w:t xml:space="preserve">八、宫腔电切镜</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1.</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视向角≥12°，视场角≥60°；</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2.</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镜体外径≤4mm；</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3.</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内鞘直径≤8.3mm；</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4.</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rFonts w:hint="eastAsia"/>
                <w:sz w:val="24"/>
                <w:szCs w:val="24"/>
              </w:rPr>
            </w:pPr>
            <w:r>
              <w:rPr>
                <w:rFonts w:hint="eastAsia"/>
                <w:sz w:val="24"/>
                <w:szCs w:val="24"/>
              </w:rPr>
              <w:t xml:space="preserve">外鞘直径≤9mm；</w:t>
            </w:r>
            <w:r/>
          </w:p>
        </w:tc>
      </w:tr>
      <w:tr>
        <w:trPr>
          <w:jc w:val="center"/>
          <w:trHeight w:val="170"/>
        </w:trPr>
        <w:tc>
          <w:tcPr>
            <w:tcBorders>
              <w:top w:val="single" w:color="auto" w:sz="4" w:space="0"/>
              <w:left w:val="single" w:color="auto" w:sz="4" w:space="0"/>
              <w:bottom w:val="single" w:color="auto" w:sz="4" w:space="0"/>
              <w:right w:val="single" w:color="auto" w:sz="4" w:space="0"/>
            </w:tcBorders>
            <w:tcW w:w="704" w:type="dxa"/>
            <w:vAlign w:val="top"/>
            <w:textDirection w:val="lrTb"/>
            <w:noWrap/>
          </w:tcPr>
          <w:p>
            <w:pPr>
              <w:jc w:val="center"/>
              <w:rPr>
                <w:rFonts w:hint="eastAsia"/>
                <w:sz w:val="24"/>
                <w:szCs w:val="24"/>
              </w:rPr>
            </w:pPr>
            <w:r>
              <w:rPr>
                <w:rFonts w:hint="eastAsia"/>
                <w:sz w:val="24"/>
                <w:szCs w:val="24"/>
              </w:rPr>
              <w:t xml:space="preserve">5.</w:t>
            </w:r>
            <w:r/>
          </w:p>
        </w:tc>
        <w:tc>
          <w:tcPr>
            <w:tcBorders>
              <w:top w:val="single" w:color="auto" w:sz="4" w:space="0"/>
              <w:left w:val="none" w:color="000000" w:sz="4" w:space="0"/>
              <w:bottom w:val="single" w:color="auto" w:sz="4" w:space="0"/>
              <w:right w:val="single" w:color="auto" w:sz="4" w:space="0"/>
            </w:tcBorders>
            <w:tcW w:w="7866" w:type="dxa"/>
            <w:vAlign w:val="top"/>
            <w:textDirection w:val="lrTb"/>
            <w:noWrap w:val="false"/>
          </w:tcPr>
          <w:p>
            <w:pPr>
              <w:rPr>
                <w:sz w:val="24"/>
                <w:szCs w:val="24"/>
              </w:rPr>
            </w:pPr>
            <w:r>
              <w:rPr>
                <w:rFonts w:hint="eastAsia"/>
                <w:sz w:val="24"/>
                <w:szCs w:val="24"/>
              </w:rPr>
              <w:t xml:space="preserve">操作器、内鞘、外鞘套之间为快速卡锁式装接设计，便于操作；</w:t>
            </w:r>
            <w:bookmarkEnd w:id="203"/>
            <w:r/>
            <w:bookmarkEnd w:id="204"/>
            <w:r/>
            <w:bookmarkEnd w:id="205"/>
            <w:r/>
            <w:r/>
          </w:p>
        </w:tc>
      </w:tr>
    </w:tbl>
    <w:p>
      <w:pPr>
        <w:pStyle w:val="810"/>
        <w:ind w:left="0"/>
        <w:rPr>
          <w:rFonts w:hint="eastAsia" w:ascii="宋体" w:hAnsi="宋体" w:eastAsia="宋体" w:cs="宋体"/>
          <w:sz w:val="24"/>
          <w:szCs w:val="24"/>
        </w:rPr>
      </w:pPr>
      <w:r>
        <w:rPr>
          <w:rFonts w:hint="eastAsia" w:ascii="宋体" w:hAnsi="宋体" w:eastAsia="宋体" w:cs="宋体"/>
          <w:sz w:val="24"/>
          <w:szCs w:val="24"/>
        </w:rPr>
      </w:r>
      <w:r/>
    </w:p>
    <w:p>
      <w:pPr>
        <w:pStyle w:val="732"/>
        <w:ind w:left="19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b/>
          <w:bCs/>
          <w:color w:val="ff0000"/>
          <w:sz w:val="24"/>
          <w:szCs w:val="24"/>
          <w:highlight w:val="yellow"/>
          <w:lang w:eastAsia="zh-CN"/>
        </w:rPr>
      </w:pPr>
      <w:r/>
      <w:bookmarkStart w:id="207" w:name="_Hlk181177549"/>
      <w:r>
        <w:rPr>
          <w:rFonts w:hint="eastAsia" w:ascii="宋体" w:hAnsi="宋体" w:eastAsia="宋体" w:cs="宋体"/>
          <w:b/>
          <w:bCs/>
          <w:sz w:val="24"/>
          <w:szCs w:val="24"/>
        </w:rPr>
        <w:t xml:space="preserve">★</w:t>
      </w:r>
      <w:bookmarkEnd w:id="207"/>
      <w:r>
        <w:rPr>
          <w:rFonts w:hint="eastAsia" w:ascii="宋体" w:hAnsi="宋体" w:eastAsia="宋体" w:cs="宋体"/>
          <w:b/>
          <w:bCs/>
          <w:sz w:val="24"/>
          <w:szCs w:val="24"/>
        </w:rPr>
        <w:t xml:space="preserve">三、其他要求：</w:t>
      </w:r>
      <w:r/>
    </w:p>
    <w:p>
      <w:pPr>
        <w:pStyle w:val="810"/>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1.维修保证：</w:t>
      </w:r>
      <w:r/>
    </w:p>
    <w:p>
      <w:pPr>
        <w:pStyle w:val="810"/>
        <w:ind w:lef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（1）设备原厂免费保修期≥</w:t>
      </w:r>
      <w:r>
        <w:rPr>
          <w:rFonts w:hint="eastAsia" w:ascii="宋体" w:hAnsi="宋体" w:eastAsia="宋体" w:cs="宋体"/>
          <w:color w:val="auto"/>
          <w:sz w:val="24"/>
          <w:szCs w:val="24"/>
          <w:highlight w:val="none"/>
        </w:rPr>
        <w:t xml:space="preserve">叁年</w:t>
      </w:r>
      <w:r>
        <w:rPr>
          <w:rFonts w:hint="eastAsia" w:ascii="宋体" w:hAnsi="宋体" w:eastAsia="宋体" w:cs="宋体"/>
          <w:sz w:val="24"/>
          <w:szCs w:val="24"/>
          <w:highlight w:val="none"/>
        </w:rPr>
        <w:t xml:space="preserve">，自设备验收合格之日起算</w:t>
      </w:r>
      <w:r>
        <w:rPr>
          <w:rFonts w:hint="eastAsia" w:ascii="宋体" w:hAnsi="宋体" w:cs="宋体"/>
          <w:sz w:val="24"/>
          <w:szCs w:val="24"/>
          <w:highlight w:val="none"/>
          <w:lang w:eastAsia="zh-CN"/>
        </w:rPr>
        <w:t xml:space="preserve">。</w:t>
      </w:r>
      <w:r/>
    </w:p>
    <w:p>
      <w:pPr>
        <w:pStyle w:val="810"/>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（2）在质保期内，每年提供≥2次定期巡检服务。如发生故障，要求供方在接报后 2 小时内作出有效响应，</w:t>
      </w:r>
      <w:r>
        <w:rPr>
          <w:rFonts w:hint="eastAsia" w:ascii="宋体" w:hAnsi="宋体" w:cs="宋体"/>
          <w:sz w:val="24"/>
          <w:szCs w:val="24"/>
          <w:highlight w:val="none"/>
          <w:lang w:val="en-US" w:eastAsia="zh-CN"/>
        </w:rPr>
        <w:t xml:space="preserve">24</w:t>
      </w:r>
      <w:r>
        <w:rPr>
          <w:rFonts w:hint="eastAsia" w:ascii="宋体" w:hAnsi="宋体" w:eastAsia="宋体" w:cs="宋体"/>
          <w:sz w:val="24"/>
          <w:szCs w:val="24"/>
          <w:highlight w:val="none"/>
        </w:rPr>
        <w:t xml:space="preserve">小时之内维修人员到达现场提供服务；须提供故障不能排除时的解决方案。</w:t>
      </w:r>
      <w:r/>
    </w:p>
    <w:p>
      <w:pPr>
        <w:pStyle w:val="810"/>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2.交货时间：合同签订后 60 天内。</w:t>
      </w:r>
      <w:r/>
    </w:p>
    <w:p>
      <w:pPr>
        <w:pStyle w:val="81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标准：供方提供的商品必须符合我国最新颁布的与之相关的技术规范与标准，进口设备生产日期距交货日期不得大于6个月，国产设备生产日期距交货日期不得大于3个月，同时必须满足招标书中所列全部规格、型号、具体配置、技术条件及功能要求和供方承诺的其他指标。 </w:t>
      </w:r>
      <w:r/>
    </w:p>
    <w:p>
      <w:pPr>
        <w:pStyle w:val="810"/>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pStyle w:val="810"/>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5.交货条件：产品交货时，包装完整无破损，还必须提供以下材料：</w:t>
      </w:r>
      <w:r/>
    </w:p>
    <w:p>
      <w:pPr>
        <w:pStyle w:val="810"/>
        <w:ind w:left="0"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（1）装箱单</w:t>
      </w:r>
      <w:r/>
    </w:p>
    <w:p>
      <w:pPr>
        <w:pStyle w:val="810"/>
        <w:ind w:left="0"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（2）产品质检合格证明</w:t>
      </w:r>
      <w:r/>
    </w:p>
    <w:p>
      <w:pPr>
        <w:pStyle w:val="810"/>
        <w:ind w:left="0"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（3）供方需要提供进口商品检验检疫证明（进口产品适用）</w:t>
      </w:r>
      <w:r/>
    </w:p>
    <w:p>
      <w:pPr>
        <w:pStyle w:val="810"/>
        <w:ind w:left="0"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（4）需要提供维护手册、维修手册、软件备份、故障代码表、备件清单、零部件、维修密码等维护维修必需的材料和信息 （详询采购人）</w:t>
      </w:r>
      <w:r/>
    </w:p>
    <w:p>
      <w:pPr>
        <w:pStyle w:val="810"/>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6.运输及到货地点：由供方负责办理运输及装卸，直接送至需方所在地，所有费用由供方承担。</w:t>
      </w:r>
      <w:r/>
    </w:p>
    <w:p>
      <w:pPr>
        <w:pStyle w:val="810"/>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安装、调试及售后服务：供方负责本次采购设备的免费安装、调试。供方应提供现场技术培训，保证使用人员正常操作设备的各种功能，供方提供设备操作规范张贴设备上，提供设备操作规范电子档交于采购人。</w:t>
      </w:r>
      <w:r/>
    </w:p>
    <w:p>
      <w:pPr>
        <w:ind w:firstLine="480"/>
        <w:keepLines w:val="0"/>
        <w:keepNext w:val="0"/>
        <w:pageBreakBefore w:val="0"/>
        <w:spacing w:line="360" w:lineRule="auto"/>
        <w:widowControl w:val="off"/>
      </w:pPr>
      <w:r>
        <w:rPr>
          <w:rFonts w:hint="eastAsia" w:ascii="宋体" w:hAnsi="宋体" w:eastAsia="宋体" w:cs="宋体"/>
          <w:color w:val="auto"/>
          <w:sz w:val="24"/>
          <w:szCs w:val="24"/>
          <w:highlight w:val="none"/>
        </w:rPr>
        <w:t xml:space="preserve">8. </w:t>
      </w:r>
      <w:r>
        <w:rPr>
          <w:rFonts w:hint="eastAsia" w:ascii="宋体" w:hAnsi="宋体" w:eastAsia="宋体" w:cs="宋体"/>
          <w:bCs/>
          <w:color w:val="auto"/>
          <w:sz w:val="24"/>
          <w:szCs w:val="24"/>
          <w:highlight w:val="none"/>
        </w:rPr>
        <w:t xml:space="preserve">款项的支付方式</w:t>
      </w:r>
      <w:r>
        <w:rPr>
          <w:rFonts w:hint="eastAsia" w:ascii="宋体" w:hAnsi="宋体" w:eastAsia="宋体" w:cs="宋体"/>
          <w:bCs/>
          <w:color w:val="auto"/>
          <w:sz w:val="24"/>
          <w:szCs w:val="24"/>
          <w:highlight w:val="none"/>
          <w:lang w:eastAsia="zh-CN"/>
        </w:rPr>
        <w:t xml:space="preserve">：</w:t>
      </w:r>
      <w:r/>
      <w:r>
        <w:rPr>
          <w:rFonts w:hint="eastAsia" w:ascii="宋体" w:hAnsi="宋体" w:eastAsia="宋体" w:cs="宋体"/>
          <w:bCs/>
          <w:color w:val="auto"/>
          <w:sz w:val="24"/>
          <w:szCs w:val="24"/>
          <w:highlight w:val="none"/>
          <w:lang w:eastAsia="zh-CN"/>
        </w:rPr>
        <w:t xml:space="preserve">合同签订后30日内预支付合同金额的30%；产品验收通过，正常使用6个月后30日内，采购人收到发票后，支付合同金额的60%；产品正常使用12个月后30日内，进行最终验收，运行稳定且培训合格，支付合同金额的10%。 </w:t>
      </w:r>
      <w:r/>
      <w:r>
        <w:rPr>
          <w:rFonts w:hint="eastAsia" w:ascii="宋体" w:hAnsi="宋体" w:eastAsia="宋体" w:cs="宋体"/>
          <w:color w:val="auto"/>
          <w:sz w:val="24"/>
          <w:szCs w:val="24"/>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如果中标人为中小企业，按《保障中小企业款项支付条例》(国令第802号)相关要求执行。</w:t>
      </w:r>
      <w:r>
        <w:rPr>
          <w:rFonts w:hint="eastAsia" w:ascii="宋体" w:hAnsi="宋体" w:eastAsia="宋体" w:cs="宋体"/>
          <w:color w:val="auto"/>
          <w:sz w:val="24"/>
          <w:szCs w:val="24"/>
          <w:highlight w:val="none"/>
        </w:rPr>
      </w:r>
      <w:r/>
      <w:r/>
    </w:p>
    <w:p>
      <w:pPr>
        <w:pStyle w:val="810"/>
        <w:ind w:left="0" w:firstLine="480"/>
        <w:keepLines w:val="0"/>
        <w:keepNext w:val="0"/>
        <w:pageBreakBefore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9.设备随机耗材要求：投标供应商应列明能确保设备正常使用的，所需耗材及维修配件</w:t>
      </w:r>
      <w:r>
        <w:rPr>
          <w:rFonts w:hint="eastAsia" w:ascii="宋体" w:hAnsi="宋体" w:eastAsia="宋体" w:cs="宋体"/>
          <w:color w:val="auto"/>
          <w:sz w:val="24"/>
          <w:szCs w:val="24"/>
          <w:highlight w:val="none"/>
        </w:rPr>
        <w:t xml:space="preserve">的清单及价格（格式可自拟），承诺所有耗材已通过江苏省阳光采购平台挂网并列明产品编码，未列其中的，视为免费维保范围之材料，和设备拥有同等保修期及保修服务。</w:t>
      </w:r>
      <w:r/>
    </w:p>
    <w:p>
      <w:pPr>
        <w:pStyle w:val="810"/>
        <w:ind w:left="0"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10.具备数字化接口的设备应承诺支持相应通信协议，设备全生命周期免费开放该接口，由供应商配合与医院信息系统相连接并承担相关费用（包含但不限于PACS、HIS、LIS系统）。（提供承诺书，格式可自拟）。</w:t>
      </w:r>
      <w:r/>
    </w:p>
    <w:p>
      <w:pPr>
        <w:pStyle w:val="810"/>
        <w:ind w:left="0"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供应商应承诺设备实现与医院设备实时监控系统相连并承担相关费用，达到医院实时监控要求。开放文件共享端口，支持任意一项或多项通信协议:smb、ssh、ftp、http、https，允许获取故障日志、运营日志、参数日志数据。（提供承诺书，格式可自拟）。</w:t>
      </w:r>
      <w:r/>
    </w:p>
    <w:p>
      <w:pPr>
        <w:pStyle w:val="810"/>
        <w:ind w:left="0"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12.具有汉字字库、中文支持的系统及中文文档的设备应承诺免费提供该系统，暂不具备的应承诺如日后具备此系统后免费向用户提供。（提供承诺书，格式可自拟）。</w:t>
      </w:r>
      <w:r/>
    </w:p>
    <w:p>
      <w:pPr>
        <w:pStyle w:val="810"/>
        <w:ind w:left="0"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13.设备使用年限内（本次所投产品</w:t>
      </w:r>
      <w:r>
        <w:rPr>
          <w:rFonts w:hint="eastAsia" w:ascii="宋体" w:hAnsi="宋体" w:cs="宋体"/>
          <w:sz w:val="24"/>
          <w:szCs w:val="24"/>
          <w:highlight w:val="none"/>
          <w:lang w:val="en-US" w:eastAsia="zh-CN"/>
        </w:rPr>
        <w:t xml:space="preserve">主要部件</w:t>
      </w:r>
      <w:r>
        <w:rPr>
          <w:rFonts w:hint="eastAsia" w:ascii="宋体" w:hAnsi="宋体" w:eastAsia="宋体" w:cs="宋体"/>
          <w:color w:val="auto"/>
          <w:sz w:val="24"/>
          <w:szCs w:val="24"/>
          <w:highlight w:val="none"/>
        </w:rPr>
        <w:t xml:space="preserve">的年限为10年</w:t>
      </w:r>
      <w:r>
        <w:rPr>
          <w:rFonts w:hint="eastAsia" w:ascii="宋体" w:hAnsi="宋体" w:eastAsia="宋体" w:cs="宋体"/>
          <w:sz w:val="24"/>
          <w:szCs w:val="24"/>
          <w:highlight w:val="none"/>
        </w:rPr>
        <w:t xml:space="preserve">），应承诺保证配件、耗材的供应；若因设备升级等原因导致配件、耗材价格提高，或已无法正常供应配件、耗材时，采购人有权要求生产厂家按折旧后的价格将设备回购（提供《关于所投设备的配件、耗材供应情况的承诺函》</w:t>
      </w:r>
      <w:r>
        <w:rPr>
          <w:rFonts w:hint="eastAsia" w:ascii="宋体" w:hAnsi="宋体" w:eastAsia="宋体" w:cs="宋体"/>
          <w:sz w:val="24"/>
          <w:szCs w:val="24"/>
          <w:highlight w:val="none"/>
          <w:lang w:val="en-US" w:eastAsia="zh-CN"/>
        </w:rPr>
        <w:t xml:space="preserve">参考</w:t>
      </w:r>
      <w:r>
        <w:rPr>
          <w:rFonts w:hint="eastAsia" w:ascii="宋体" w:hAnsi="宋体" w:eastAsia="宋体" w:cs="宋体"/>
          <w:sz w:val="24"/>
          <w:szCs w:val="24"/>
          <w:highlight w:val="none"/>
        </w:rPr>
        <w:t xml:space="preserve">格式）。</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highlight w:val="none"/>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bookmarkStart w:id="208" w:name="_Toc120614281"/>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w:t>
      </w:r>
      <w:r>
        <w:rPr>
          <w:rFonts w:hint="eastAsia" w:ascii="宋体" w:hAnsi="宋体"/>
          <w:bCs/>
          <w:color w:val="auto"/>
          <w:sz w:val="24"/>
          <w:highlight w:val="none"/>
          <w:lang w:eastAsia="zh-CN"/>
        </w:rPr>
        <w:t xml:space="preserve">〔2014〕68号</w:t>
      </w:r>
      <w:r>
        <w:rPr>
          <w:rFonts w:hint="eastAsia" w:ascii="宋体" w:hAnsi="宋体"/>
          <w:bCs/>
          <w:color w:val="auto"/>
          <w:sz w:val="24"/>
          <w:highlight w:val="none"/>
        </w:rPr>
        <w:t xml:space="preserve">）的规定提供由省级以上监狱管理局、戒毒管理局（含新疆生产建设兵团）出具的属于监狱企业的证明文件扫描件。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bookmarkStart w:id="220" w:name="_GoBack"/>
      <w:r/>
      <w:bookmarkEnd w:id="220"/>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 xml:space="preserve">评标方法与评标标准</w:t>
      </w:r>
      <w:r/>
    </w:p>
    <w:p>
      <w:pPr>
        <w:pStyle w:val="1034"/>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1034"/>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1034"/>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1034"/>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4"/>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none"/>
          <w:shd w:val="clear" w:color="ffffff" w:fill="d9d9d9"/>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    </w:t>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1034"/>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34"/>
        <w:ind w:firstLine="281"/>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4"/>
        <w:ind w:firstLine="281"/>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34"/>
        <w:ind w:firstLine="281"/>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34"/>
        <w:ind w:firstLine="281"/>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34"/>
        <w:ind w:firstLine="281"/>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34"/>
        <w:ind w:firstLine="281"/>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34"/>
        <w:ind w:firstLine="281"/>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34"/>
        <w:ind w:firstLine="281"/>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34"/>
        <w:ind w:firstLine="281"/>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34"/>
        <w:ind w:firstLine="281"/>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34"/>
        <w:ind w:firstLine="281"/>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34"/>
        <w:ind w:firstLine="281"/>
        <w:spacing w:before="0" w:after="0" w:line="500" w:lineRule="exact"/>
        <w:rPr>
          <w:rFonts w:hint="eastAsia" w:ascii="宋体" w:hAnsi="宋体"/>
          <w:b/>
          <w:bCs/>
          <w:color w:val="000000" w:themeColor="text1"/>
          <w:sz w:val="28"/>
          <w:szCs w:val="28"/>
          <w:highlight w:val="none"/>
          <w:shd w:val="clear" w:color="ffffff" w:fill="d9d9d9"/>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w:t>
      </w:r>
      <w:r/>
    </w:p>
    <w:p>
      <w:pPr>
        <w:pStyle w:val="1034"/>
        <w:ind w:firstLine="281"/>
        <w:spacing w:before="0" w:after="0" w:line="5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1.价格（</w:t>
      </w:r>
      <w:r>
        <w:rPr>
          <w:rFonts w:hint="eastAsia" w:ascii="宋体" w:hAnsi="宋体"/>
          <w:b/>
          <w:bCs/>
          <w:color w:val="000000" w:themeColor="text1"/>
          <w:sz w:val="24"/>
          <w:szCs w:val="24"/>
          <w:highlight w:val="none"/>
          <w:lang w:val="en-US" w:eastAsia="zh-CN"/>
          <w14:textFill>
            <w14:solidFill>
              <w14:schemeClr w14:val="tx1"/>
            </w14:solidFill>
          </w14:textFill>
        </w:rPr>
        <w:t xml:space="preserve">40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w:t>
      </w:r>
      <w:r>
        <w:rPr>
          <w:rFonts w:hint="eastAsia" w:ascii="宋体" w:hAnsi="宋体" w:cs="宋体"/>
          <w:color w:val="auto"/>
          <w:sz w:val="24"/>
          <w:highlight w:val="none"/>
          <w:lang w:val="en-US" w:eastAsia="zh-CN"/>
        </w:rPr>
        <w:t xml:space="preserve">40</w:t>
      </w:r>
      <w:r>
        <w:rPr>
          <w:rFonts w:hint="eastAsia" w:ascii="宋体" w:hAnsi="宋体" w:cs="宋体"/>
          <w:color w:val="auto"/>
          <w:sz w:val="24"/>
          <w:highlight w:val="none"/>
        </w:rPr>
        <w:t xml:space="preserve">分。其他投标人的价格分统一按照下列公式计算：</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40（</w:t>
      </w:r>
      <w:r>
        <w:rPr>
          <w:rFonts w:hint="eastAsia" w:ascii="宋体" w:hAnsi="宋体" w:cs="宋体"/>
          <w:color w:val="auto"/>
          <w:sz w:val="24"/>
          <w:highlight w:val="none"/>
        </w:rPr>
        <w:t xml:space="preserve">保留两位小数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jc w:val="both"/>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6"/>
        </w:numPr>
        <w:ind w:firstLine="482"/>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技术（40分）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w:t>
      </w:r>
      <w:r>
        <w:rPr>
          <w:rFonts w:hint="eastAsia" w:ascii="宋体" w:hAnsi="宋体"/>
          <w:b/>
          <w:bCs/>
          <w:color w:val="auto"/>
          <w:sz w:val="24"/>
          <w:szCs w:val="24"/>
          <w:highlight w:val="none"/>
          <w:lang w:val="en-US" w:eastAsia="zh-CN"/>
        </w:rPr>
        <w:t xml:space="preserve">评分参数</w:t>
      </w:r>
      <w:r>
        <w:rPr>
          <w:rFonts w:hint="eastAsia" w:ascii="宋体" w:hAnsi="宋体"/>
          <w:b/>
          <w:bCs/>
          <w:color w:val="auto"/>
          <w:sz w:val="24"/>
          <w:szCs w:val="24"/>
          <w:highlight w:val="none"/>
        </w:rPr>
        <w:t xml:space="preserve">内容的，评审时不予认可。技术分条款须按对应评分项目（或数字编号）进行自评，注明自评分。</w:t>
      </w:r>
      <w:r/>
    </w:p>
    <w:tbl>
      <w:tblPr>
        <w:tblStyle w:val="729"/>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6379"/>
        <w:gridCol w:w="1417"/>
      </w:tblGrid>
      <w:tr>
        <w:trPr>
          <w:jc w:val="center"/>
          <w:trHeight w:val="170"/>
        </w:trPr>
        <w:tc>
          <w:tcPr>
            <w:tcW w:w="704" w:type="dxa"/>
            <w:vAlign w:val="top"/>
            <w:textDirection w:val="lrTb"/>
            <w:noWrap/>
          </w:tcPr>
          <w:p>
            <w:pPr>
              <w:jc w:val="center"/>
              <w:rPr>
                <w:b/>
                <w:color w:val="auto"/>
                <w:sz w:val="24"/>
                <w:szCs w:val="24"/>
              </w:rPr>
            </w:pPr>
            <w:r>
              <w:rPr>
                <w:rFonts w:hint="eastAsia"/>
                <w:b/>
                <w:color w:val="auto"/>
                <w:sz w:val="24"/>
                <w:szCs w:val="24"/>
              </w:rPr>
              <w:t xml:space="preserve">序号</w:t>
            </w:r>
            <w:r/>
          </w:p>
        </w:tc>
        <w:tc>
          <w:tcPr>
            <w:tcW w:w="6379" w:type="dxa"/>
            <w:vAlign w:val="top"/>
            <w:textDirection w:val="lrTb"/>
            <w:noWrap w:val="false"/>
          </w:tcPr>
          <w:p>
            <w:pPr>
              <w:jc w:val="center"/>
              <w:rPr>
                <w:b/>
                <w:color w:val="auto"/>
                <w:sz w:val="24"/>
                <w:szCs w:val="24"/>
              </w:rPr>
            </w:pPr>
            <w:r>
              <w:rPr>
                <w:b/>
                <w:color w:val="auto"/>
                <w:sz w:val="24"/>
                <w:szCs w:val="24"/>
              </w:rPr>
              <w:t xml:space="preserve">评分标准</w:t>
            </w:r>
            <w:r/>
          </w:p>
        </w:tc>
        <w:tc>
          <w:tcPr>
            <w:tcW w:w="1417" w:type="dxa"/>
            <w:vAlign w:val="top"/>
            <w:textDirection w:val="lrTb"/>
            <w:noWrap w:val="false"/>
          </w:tcPr>
          <w:p>
            <w:pPr>
              <w:jc w:val="center"/>
              <w:rPr>
                <w:b/>
                <w:color w:val="auto"/>
                <w:sz w:val="24"/>
                <w:szCs w:val="24"/>
              </w:rPr>
            </w:pPr>
            <w:r>
              <w:rPr>
                <w:b/>
                <w:color w:val="auto"/>
                <w:sz w:val="24"/>
                <w:szCs w:val="24"/>
              </w:rPr>
              <w:t xml:space="preserve">分值</w:t>
            </w:r>
            <w:r/>
          </w:p>
        </w:tc>
      </w:tr>
      <w:tr>
        <w:trPr>
          <w:jc w:val="center"/>
          <w:trHeight w:val="170"/>
        </w:trPr>
        <w:tc>
          <w:tcPr>
            <w:tcW w:w="704" w:type="dxa"/>
            <w:vAlign w:val="center"/>
            <w:textDirection w:val="lrTb"/>
            <w:noWrap/>
          </w:tcPr>
          <w:p>
            <w:pPr>
              <w:jc w:val="center"/>
              <w:rPr>
                <w:rFonts w:hint="eastAsia"/>
                <w:color w:val="auto"/>
                <w:sz w:val="24"/>
                <w:szCs w:val="24"/>
              </w:rPr>
            </w:pPr>
            <w:r>
              <w:rPr>
                <w:rFonts w:hint="eastAsia"/>
                <w:color w:val="auto"/>
                <w:sz w:val="24"/>
                <w:szCs w:val="24"/>
              </w:rPr>
              <w:t xml:space="preserve">1</w:t>
            </w:r>
            <w:r/>
          </w:p>
        </w:tc>
        <w:tc>
          <w:tcPr>
            <w:tcW w:w="6379" w:type="dxa"/>
            <w:vAlign w:val="center"/>
            <w:textDirection w:val="lrTb"/>
            <w:noWrap w:val="false"/>
          </w:tcPr>
          <w:p>
            <w:pPr>
              <w:jc w:val="both"/>
              <w:rPr>
                <w:color w:val="auto"/>
                <w:sz w:val="24"/>
                <w:szCs w:val="24"/>
              </w:rPr>
            </w:pPr>
            <w:r>
              <w:rPr>
                <w:rFonts w:hint="eastAsia"/>
                <w:color w:val="auto"/>
                <w:sz w:val="24"/>
                <w:szCs w:val="24"/>
              </w:rPr>
              <w:t xml:space="preserve">摄像系统输出分辨率≥</w:t>
            </w:r>
            <w:r>
              <w:rPr>
                <w:color w:val="auto"/>
                <w:sz w:val="24"/>
                <w:szCs w:val="24"/>
              </w:rPr>
              <w:t xml:space="preserve">3840</w:t>
            </w:r>
            <w:r>
              <w:rPr>
                <w:rFonts w:hint="eastAsia"/>
                <w:color w:val="auto"/>
                <w:sz w:val="24"/>
                <w:szCs w:val="24"/>
              </w:rPr>
              <w:t xml:space="preserve">×</w:t>
            </w:r>
            <w:r>
              <w:rPr>
                <w:color w:val="auto"/>
                <w:sz w:val="24"/>
                <w:szCs w:val="24"/>
              </w:rPr>
              <w:t xml:space="preserve">2160得3分，其他不得分；</w:t>
            </w:r>
            <w:r/>
          </w:p>
        </w:tc>
        <w:tc>
          <w:tcPr>
            <w:tcW w:w="1417" w:type="dxa"/>
            <w:vAlign w:val="center"/>
            <w:textDirection w:val="lrTb"/>
            <w:noWrap/>
          </w:tcPr>
          <w:p>
            <w:pPr>
              <w:jc w:val="center"/>
              <w:rPr>
                <w:color w:val="auto"/>
                <w:sz w:val="24"/>
                <w:szCs w:val="24"/>
              </w:rPr>
            </w:pPr>
            <w:r>
              <w:rPr>
                <w:color w:val="auto"/>
                <w:sz w:val="24"/>
                <w:szCs w:val="24"/>
              </w:rPr>
              <w:t xml:space="preserve">3</w:t>
            </w:r>
            <w:r/>
          </w:p>
        </w:tc>
      </w:tr>
      <w:tr>
        <w:trPr>
          <w:jc w:val="center"/>
          <w:trHeight w:val="170"/>
        </w:trPr>
        <w:tc>
          <w:tcPr>
            <w:tcW w:w="704" w:type="dxa"/>
            <w:vAlign w:val="center"/>
            <w:textDirection w:val="lrTb"/>
            <w:noWrap/>
          </w:tcPr>
          <w:p>
            <w:pPr>
              <w:jc w:val="center"/>
              <w:rPr>
                <w:rFonts w:hint="eastAsia"/>
                <w:color w:val="auto"/>
                <w:sz w:val="24"/>
                <w:szCs w:val="24"/>
              </w:rPr>
            </w:pPr>
            <w:r>
              <w:rPr>
                <w:rFonts w:hint="eastAsia"/>
                <w:color w:val="auto"/>
                <w:sz w:val="24"/>
                <w:szCs w:val="24"/>
              </w:rPr>
              <w:t xml:space="preserve">2</w:t>
            </w:r>
            <w:r/>
          </w:p>
        </w:tc>
        <w:tc>
          <w:tcPr>
            <w:tcW w:w="6379" w:type="dxa"/>
            <w:vAlign w:val="center"/>
            <w:textDirection w:val="lrTb"/>
            <w:noWrap/>
          </w:tcPr>
          <w:p>
            <w:pPr>
              <w:jc w:val="both"/>
              <w:rPr>
                <w:color w:val="auto"/>
                <w:sz w:val="24"/>
                <w:szCs w:val="24"/>
              </w:rPr>
            </w:pPr>
            <w:r>
              <w:rPr>
                <w:rFonts w:hint="eastAsia"/>
                <w:color w:val="auto"/>
                <w:sz w:val="24"/>
                <w:szCs w:val="24"/>
              </w:rPr>
              <w:t xml:space="preserve">摄像头自定义按键数≥</w:t>
            </w:r>
            <w:r>
              <w:rPr>
                <w:color w:val="auto"/>
                <w:sz w:val="24"/>
                <w:szCs w:val="24"/>
              </w:rPr>
              <w:t xml:space="preserve">4个得2分，其他不得分；</w:t>
            </w:r>
            <w:r/>
          </w:p>
        </w:tc>
        <w:tc>
          <w:tcPr>
            <w:tcW w:w="1417" w:type="dxa"/>
            <w:vAlign w:val="center"/>
            <w:textDirection w:val="lrTb"/>
            <w:noWrap/>
          </w:tcPr>
          <w:p>
            <w:pPr>
              <w:jc w:val="center"/>
              <w:rPr>
                <w:color w:val="auto"/>
                <w:sz w:val="24"/>
                <w:szCs w:val="24"/>
              </w:rPr>
            </w:pPr>
            <w:r>
              <w:rPr>
                <w:color w:val="auto"/>
                <w:sz w:val="24"/>
                <w:szCs w:val="24"/>
              </w:rPr>
              <w:t xml:space="preserve">2</w:t>
            </w:r>
            <w:r/>
          </w:p>
        </w:tc>
      </w:tr>
      <w:tr>
        <w:trPr>
          <w:jc w:val="center"/>
          <w:trHeight w:val="170"/>
        </w:trPr>
        <w:tc>
          <w:tcPr>
            <w:tcW w:w="704" w:type="dxa"/>
            <w:vAlign w:val="center"/>
            <w:textDirection w:val="lrTb"/>
            <w:noWrap/>
          </w:tcPr>
          <w:p>
            <w:pPr>
              <w:jc w:val="center"/>
              <w:rPr>
                <w:rFonts w:hint="eastAsia"/>
                <w:color w:val="auto"/>
                <w:sz w:val="24"/>
                <w:szCs w:val="24"/>
              </w:rPr>
            </w:pPr>
            <w:r>
              <w:rPr>
                <w:rFonts w:hint="eastAsia"/>
                <w:color w:val="auto"/>
                <w:sz w:val="24"/>
                <w:szCs w:val="24"/>
              </w:rPr>
              <w:t xml:space="preserve">3</w:t>
            </w:r>
            <w:r/>
          </w:p>
        </w:tc>
        <w:tc>
          <w:tcPr>
            <w:tcW w:w="6379" w:type="dxa"/>
            <w:vAlign w:val="center"/>
            <w:textDirection w:val="lrTb"/>
            <w:noWrap w:val="false"/>
          </w:tcPr>
          <w:p>
            <w:pPr>
              <w:jc w:val="both"/>
              <w:rPr>
                <w:color w:val="auto"/>
                <w:sz w:val="24"/>
                <w:szCs w:val="24"/>
              </w:rPr>
            </w:pPr>
            <w:r>
              <w:rPr>
                <w:rFonts w:hint="eastAsia"/>
                <w:color w:val="auto"/>
                <w:sz w:val="24"/>
                <w:szCs w:val="24"/>
              </w:rPr>
              <w:t xml:space="preserve">摄像头满足≥</w:t>
            </w:r>
            <w:r>
              <w:rPr>
                <w:color w:val="auto"/>
                <w:sz w:val="24"/>
                <w:szCs w:val="24"/>
              </w:rPr>
              <w:t xml:space="preserve">2倍光学变焦得1分，满足且总变焦倍数≥8倍得3分，其他不得分；</w:t>
            </w:r>
            <w:r/>
          </w:p>
        </w:tc>
        <w:tc>
          <w:tcPr>
            <w:tcW w:w="1417" w:type="dxa"/>
            <w:vAlign w:val="center"/>
            <w:textDirection w:val="lrTb"/>
            <w:noWrap/>
          </w:tcPr>
          <w:p>
            <w:pPr>
              <w:jc w:val="center"/>
              <w:rPr>
                <w:color w:val="auto"/>
                <w:sz w:val="24"/>
                <w:szCs w:val="24"/>
              </w:rPr>
            </w:pPr>
            <w:r>
              <w:rPr>
                <w:color w:val="auto"/>
                <w:sz w:val="24"/>
                <w:szCs w:val="24"/>
              </w:rPr>
              <w:t xml:space="preserve">3</w:t>
            </w:r>
            <w:r/>
          </w:p>
        </w:tc>
      </w:tr>
      <w:tr>
        <w:trPr>
          <w:jc w:val="center"/>
          <w:trHeight w:val="170"/>
        </w:trPr>
        <w:tc>
          <w:tcPr>
            <w:tcW w:w="704" w:type="dxa"/>
            <w:vAlign w:val="center"/>
            <w:textDirection w:val="lrTb"/>
            <w:noWrap/>
          </w:tcPr>
          <w:p>
            <w:pPr>
              <w:jc w:val="center"/>
              <w:rPr>
                <w:rFonts w:hint="eastAsia"/>
                <w:color w:val="auto"/>
                <w:sz w:val="24"/>
                <w:szCs w:val="24"/>
              </w:rPr>
            </w:pPr>
            <w:r>
              <w:rPr>
                <w:rFonts w:hint="eastAsia"/>
                <w:color w:val="auto"/>
                <w:sz w:val="24"/>
                <w:szCs w:val="24"/>
              </w:rPr>
              <w:t xml:space="preserve">4</w:t>
            </w:r>
            <w:r/>
          </w:p>
        </w:tc>
        <w:tc>
          <w:tcPr>
            <w:tcW w:w="6379" w:type="dxa"/>
            <w:vAlign w:val="center"/>
            <w:textDirection w:val="lrTb"/>
            <w:noWrap/>
          </w:tcPr>
          <w:p>
            <w:pPr>
              <w:jc w:val="both"/>
              <w:rPr>
                <w:color w:val="auto"/>
                <w:sz w:val="24"/>
                <w:szCs w:val="24"/>
              </w:rPr>
            </w:pPr>
            <w:r>
              <w:rPr>
                <w:rFonts w:hint="eastAsia"/>
                <w:color w:val="auto"/>
                <w:sz w:val="24"/>
                <w:szCs w:val="24"/>
              </w:rPr>
              <w:t xml:space="preserve">摄像头</w:t>
            </w:r>
            <w:r>
              <w:rPr>
                <w:color w:val="auto"/>
                <w:sz w:val="24"/>
                <w:szCs w:val="24"/>
              </w:rPr>
              <w:t xml:space="preserve">CMOS传感器数量≥3个得2分，其他不得分；</w:t>
            </w:r>
            <w:r/>
          </w:p>
        </w:tc>
        <w:tc>
          <w:tcPr>
            <w:tcW w:w="1417" w:type="dxa"/>
            <w:vAlign w:val="center"/>
            <w:textDirection w:val="lrTb"/>
            <w:noWrap/>
          </w:tcPr>
          <w:p>
            <w:pPr>
              <w:jc w:val="center"/>
              <w:rPr>
                <w:color w:val="auto"/>
                <w:sz w:val="24"/>
                <w:szCs w:val="24"/>
              </w:rPr>
            </w:pPr>
            <w:r>
              <w:rPr>
                <w:color w:val="auto"/>
                <w:sz w:val="24"/>
                <w:szCs w:val="24"/>
              </w:rPr>
              <w:t xml:space="preserve">2</w:t>
            </w:r>
            <w:r/>
          </w:p>
        </w:tc>
      </w:tr>
      <w:tr>
        <w:trPr>
          <w:jc w:val="center"/>
          <w:trHeight w:val="170"/>
        </w:trPr>
        <w:tc>
          <w:tcPr>
            <w:tcW w:w="704" w:type="dxa"/>
            <w:vAlign w:val="center"/>
            <w:textDirection w:val="lrTb"/>
            <w:noWrap/>
          </w:tcPr>
          <w:p>
            <w:pPr>
              <w:jc w:val="center"/>
              <w:rPr>
                <w:rFonts w:hint="eastAsia"/>
                <w:color w:val="auto"/>
                <w:sz w:val="24"/>
                <w:szCs w:val="24"/>
              </w:rPr>
            </w:pPr>
            <w:r>
              <w:rPr>
                <w:rFonts w:hint="eastAsia"/>
                <w:color w:val="auto"/>
                <w:sz w:val="24"/>
                <w:szCs w:val="24"/>
              </w:rPr>
              <w:t xml:space="preserve">5</w:t>
            </w:r>
            <w:r/>
          </w:p>
        </w:tc>
        <w:tc>
          <w:tcPr>
            <w:tcW w:w="6379" w:type="dxa"/>
            <w:vAlign w:val="center"/>
            <w:textDirection w:val="lrTb"/>
            <w:noWrap w:val="false"/>
          </w:tcPr>
          <w:p>
            <w:pPr>
              <w:jc w:val="both"/>
              <w:rPr>
                <w:color w:val="auto"/>
                <w:sz w:val="24"/>
                <w:szCs w:val="24"/>
              </w:rPr>
            </w:pPr>
            <w:r>
              <w:rPr>
                <w:rFonts w:hint="eastAsia"/>
                <w:color w:val="auto"/>
                <w:sz w:val="24"/>
                <w:szCs w:val="24"/>
              </w:rPr>
              <w:t xml:space="preserve">摄像主机具有暗部增亮和反光控制功能，可调节视野暗区和过曝区域得</w:t>
            </w:r>
            <w:r>
              <w:rPr>
                <w:color w:val="auto"/>
                <w:sz w:val="24"/>
                <w:szCs w:val="24"/>
              </w:rPr>
              <w:t xml:space="preserve">3分，其他不得分；</w:t>
            </w:r>
            <w:r/>
          </w:p>
        </w:tc>
        <w:tc>
          <w:tcPr>
            <w:tcW w:w="1417" w:type="dxa"/>
            <w:vAlign w:val="center"/>
            <w:textDirection w:val="lrTb"/>
            <w:noWrap/>
          </w:tcPr>
          <w:p>
            <w:pPr>
              <w:jc w:val="center"/>
              <w:rPr>
                <w:color w:val="auto"/>
                <w:sz w:val="24"/>
                <w:szCs w:val="24"/>
              </w:rPr>
            </w:pPr>
            <w:r>
              <w:rPr>
                <w:color w:val="auto"/>
                <w:sz w:val="24"/>
                <w:szCs w:val="24"/>
              </w:rPr>
              <w:t xml:space="preserve">3</w:t>
            </w:r>
            <w:r/>
          </w:p>
        </w:tc>
      </w:tr>
      <w:tr>
        <w:trPr>
          <w:jc w:val="center"/>
          <w:trHeight w:val="170"/>
        </w:trPr>
        <w:tc>
          <w:tcPr>
            <w:tcW w:w="704" w:type="dxa"/>
            <w:vAlign w:val="center"/>
            <w:textDirection w:val="lrTb"/>
            <w:noWrap/>
          </w:tcPr>
          <w:p>
            <w:pPr>
              <w:jc w:val="center"/>
              <w:rPr>
                <w:rFonts w:hint="eastAsia"/>
                <w:color w:val="auto"/>
                <w:sz w:val="24"/>
                <w:szCs w:val="24"/>
              </w:rPr>
            </w:pPr>
            <w:r>
              <w:rPr>
                <w:rFonts w:hint="eastAsia"/>
                <w:color w:val="auto"/>
                <w:sz w:val="24"/>
                <w:szCs w:val="24"/>
              </w:rPr>
              <w:t xml:space="preserve">6</w:t>
            </w:r>
            <w:r/>
          </w:p>
        </w:tc>
        <w:tc>
          <w:tcPr>
            <w:tcW w:w="6379" w:type="dxa"/>
            <w:vAlign w:val="center"/>
            <w:textDirection w:val="lrTb"/>
            <w:noWrap w:val="false"/>
          </w:tcPr>
          <w:p>
            <w:pPr>
              <w:jc w:val="both"/>
              <w:rPr>
                <w:color w:val="auto"/>
                <w:sz w:val="24"/>
                <w:szCs w:val="24"/>
              </w:rPr>
            </w:pPr>
            <w:r>
              <w:rPr>
                <w:rFonts w:hint="eastAsia"/>
                <w:color w:val="auto"/>
                <w:sz w:val="24"/>
                <w:szCs w:val="24"/>
              </w:rPr>
              <w:t xml:space="preserve">摄像主机用户场景选择模式≥</w:t>
            </w:r>
            <w:r>
              <w:rPr>
                <w:color w:val="auto"/>
                <w:sz w:val="24"/>
                <w:szCs w:val="24"/>
              </w:rPr>
              <w:t xml:space="preserve">9种得2分，用户场景选择模式≥10种得4分，其他不得分；</w:t>
            </w:r>
            <w:r/>
          </w:p>
        </w:tc>
        <w:tc>
          <w:tcPr>
            <w:tcW w:w="1417" w:type="dxa"/>
            <w:vAlign w:val="center"/>
            <w:textDirection w:val="lrTb"/>
            <w:noWrap/>
          </w:tcPr>
          <w:p>
            <w:pPr>
              <w:jc w:val="center"/>
              <w:rPr>
                <w:color w:val="auto"/>
                <w:sz w:val="24"/>
                <w:szCs w:val="24"/>
              </w:rPr>
            </w:pPr>
            <w:r>
              <w:rPr>
                <w:color w:val="auto"/>
                <w:sz w:val="24"/>
                <w:szCs w:val="24"/>
              </w:rPr>
              <w:t xml:space="preserve">4</w:t>
            </w:r>
            <w:r/>
          </w:p>
        </w:tc>
      </w:tr>
      <w:tr>
        <w:trPr>
          <w:jc w:val="center"/>
          <w:trHeight w:val="170"/>
        </w:trPr>
        <w:tc>
          <w:tcPr>
            <w:tcW w:w="704" w:type="dxa"/>
            <w:vAlign w:val="center"/>
            <w:textDirection w:val="lrTb"/>
            <w:noWrap/>
          </w:tcPr>
          <w:p>
            <w:pPr>
              <w:jc w:val="center"/>
              <w:rPr>
                <w:rFonts w:hint="eastAsia"/>
                <w:color w:val="auto"/>
                <w:sz w:val="24"/>
                <w:szCs w:val="24"/>
              </w:rPr>
            </w:pPr>
            <w:r>
              <w:rPr>
                <w:rFonts w:hint="eastAsia"/>
                <w:color w:val="auto"/>
                <w:sz w:val="24"/>
                <w:szCs w:val="24"/>
              </w:rPr>
              <w:t xml:space="preserve">7</w:t>
            </w:r>
            <w:r/>
          </w:p>
        </w:tc>
        <w:tc>
          <w:tcPr>
            <w:tcW w:w="6379" w:type="dxa"/>
            <w:vAlign w:val="center"/>
            <w:textDirection w:val="lrTb"/>
            <w:noWrap/>
          </w:tcPr>
          <w:p>
            <w:pPr>
              <w:jc w:val="both"/>
              <w:rPr>
                <w:color w:val="auto"/>
                <w:sz w:val="24"/>
                <w:szCs w:val="24"/>
              </w:rPr>
            </w:pPr>
            <w:r>
              <w:rPr>
                <w:rFonts w:hint="eastAsia"/>
                <w:color w:val="auto"/>
                <w:sz w:val="24"/>
                <w:szCs w:val="24"/>
              </w:rPr>
              <w:t xml:space="preserve">等离子电切手术系统具备液晶屏显示，可显示电极脚踏连接状态和切凝档位得</w:t>
            </w:r>
            <w:r>
              <w:rPr>
                <w:color w:val="auto"/>
                <w:sz w:val="24"/>
                <w:szCs w:val="24"/>
              </w:rPr>
              <w:t xml:space="preserve">2分，其他不得分；</w:t>
            </w:r>
            <w:r/>
          </w:p>
        </w:tc>
        <w:tc>
          <w:tcPr>
            <w:tcW w:w="1417" w:type="dxa"/>
            <w:vAlign w:val="center"/>
            <w:textDirection w:val="lrTb"/>
            <w:noWrap/>
          </w:tcPr>
          <w:p>
            <w:pPr>
              <w:jc w:val="center"/>
              <w:rPr>
                <w:color w:val="auto"/>
                <w:sz w:val="24"/>
                <w:szCs w:val="24"/>
              </w:rPr>
            </w:pPr>
            <w:r>
              <w:rPr>
                <w:color w:val="auto"/>
                <w:sz w:val="24"/>
                <w:szCs w:val="24"/>
              </w:rPr>
              <w:t xml:space="preserve">2</w:t>
            </w:r>
            <w:r/>
          </w:p>
        </w:tc>
      </w:tr>
      <w:tr>
        <w:trPr>
          <w:jc w:val="center"/>
          <w:trHeight w:val="170"/>
        </w:trPr>
        <w:tc>
          <w:tcPr>
            <w:tcW w:w="704" w:type="dxa"/>
            <w:vAlign w:val="center"/>
            <w:textDirection w:val="lrTb"/>
            <w:noWrap/>
          </w:tcPr>
          <w:p>
            <w:pPr>
              <w:jc w:val="center"/>
              <w:rPr>
                <w:rFonts w:hint="eastAsia"/>
                <w:color w:val="auto"/>
                <w:sz w:val="24"/>
                <w:szCs w:val="24"/>
              </w:rPr>
            </w:pPr>
            <w:r>
              <w:rPr>
                <w:rFonts w:hint="eastAsia"/>
                <w:color w:val="auto"/>
                <w:sz w:val="24"/>
                <w:szCs w:val="24"/>
              </w:rPr>
              <w:t xml:space="preserve">8</w:t>
            </w:r>
            <w:r/>
          </w:p>
        </w:tc>
        <w:tc>
          <w:tcPr>
            <w:tcW w:w="6379" w:type="dxa"/>
            <w:vAlign w:val="center"/>
            <w:textDirection w:val="lrTb"/>
            <w:noWrap w:val="false"/>
          </w:tcPr>
          <w:p>
            <w:pPr>
              <w:jc w:val="both"/>
              <w:rPr>
                <w:color w:val="auto"/>
                <w:sz w:val="24"/>
                <w:szCs w:val="24"/>
              </w:rPr>
            </w:pPr>
            <w:r>
              <w:rPr>
                <w:rFonts w:hint="eastAsia"/>
                <w:color w:val="auto"/>
                <w:sz w:val="24"/>
                <w:szCs w:val="24"/>
              </w:rPr>
              <w:t xml:space="preserve">等离子体手术系统具有帮助判定组织效应的动态阻抗显示得</w:t>
            </w:r>
            <w:r>
              <w:rPr>
                <w:color w:val="auto"/>
                <w:sz w:val="24"/>
                <w:szCs w:val="24"/>
              </w:rPr>
              <w:t xml:space="preserve">2分，其他不得分；</w:t>
            </w:r>
            <w:r/>
          </w:p>
        </w:tc>
        <w:tc>
          <w:tcPr>
            <w:tcW w:w="1417" w:type="dxa"/>
            <w:vAlign w:val="center"/>
            <w:textDirection w:val="lrTb"/>
            <w:noWrap/>
          </w:tcPr>
          <w:p>
            <w:pPr>
              <w:jc w:val="center"/>
              <w:rPr>
                <w:color w:val="auto"/>
                <w:sz w:val="24"/>
                <w:szCs w:val="24"/>
              </w:rPr>
            </w:pPr>
            <w:r>
              <w:rPr>
                <w:color w:val="auto"/>
                <w:sz w:val="24"/>
                <w:szCs w:val="24"/>
              </w:rPr>
              <w:t xml:space="preserve">2</w:t>
            </w:r>
            <w:r/>
          </w:p>
        </w:tc>
      </w:tr>
      <w:tr>
        <w:trPr>
          <w:jc w:val="center"/>
          <w:trHeight w:val="170"/>
        </w:trPr>
        <w:tc>
          <w:tcPr>
            <w:tcW w:w="704" w:type="dxa"/>
            <w:vAlign w:val="center"/>
            <w:textDirection w:val="lrTb"/>
            <w:noWrap/>
          </w:tcPr>
          <w:p>
            <w:pPr>
              <w:jc w:val="center"/>
              <w:rPr>
                <w:rFonts w:hint="eastAsia"/>
                <w:color w:val="auto"/>
                <w:sz w:val="24"/>
                <w:szCs w:val="24"/>
              </w:rPr>
            </w:pPr>
            <w:r>
              <w:rPr>
                <w:rFonts w:hint="eastAsia"/>
                <w:color w:val="auto"/>
                <w:sz w:val="24"/>
                <w:szCs w:val="24"/>
              </w:rPr>
              <w:t xml:space="preserve">9</w:t>
            </w:r>
            <w:r/>
          </w:p>
        </w:tc>
        <w:tc>
          <w:tcPr>
            <w:tcW w:w="6379" w:type="dxa"/>
            <w:vAlign w:val="center"/>
            <w:textDirection w:val="lrTb"/>
            <w:noWrap w:val="false"/>
          </w:tcPr>
          <w:p>
            <w:pPr>
              <w:jc w:val="both"/>
              <w:rPr>
                <w:color w:val="auto"/>
                <w:sz w:val="24"/>
                <w:szCs w:val="24"/>
              </w:rPr>
            </w:pPr>
            <w:r>
              <w:rPr>
                <w:color w:val="auto"/>
                <w:sz w:val="24"/>
                <w:szCs w:val="24"/>
              </w:rPr>
              <w:t xml:space="preserve">LED冷光源输出光通量≥1500lm得2分，输出光通量≥3000lm得4分，其他不得分；</w:t>
            </w:r>
            <w:r/>
          </w:p>
        </w:tc>
        <w:tc>
          <w:tcPr>
            <w:tcW w:w="1417" w:type="dxa"/>
            <w:vAlign w:val="center"/>
            <w:textDirection w:val="lrTb"/>
            <w:noWrap/>
          </w:tcPr>
          <w:p>
            <w:pPr>
              <w:jc w:val="center"/>
              <w:rPr>
                <w:color w:val="auto"/>
                <w:sz w:val="24"/>
                <w:szCs w:val="24"/>
              </w:rPr>
            </w:pPr>
            <w:r>
              <w:rPr>
                <w:color w:val="auto"/>
                <w:sz w:val="24"/>
                <w:szCs w:val="24"/>
              </w:rPr>
              <w:t xml:space="preserve">4</w:t>
            </w:r>
            <w:r/>
          </w:p>
        </w:tc>
      </w:tr>
      <w:tr>
        <w:trPr>
          <w:jc w:val="center"/>
          <w:trHeight w:val="170"/>
        </w:trPr>
        <w:tc>
          <w:tcPr>
            <w:tcW w:w="704" w:type="dxa"/>
            <w:vAlign w:val="center"/>
            <w:textDirection w:val="lrTb"/>
            <w:noWrap/>
          </w:tcPr>
          <w:p>
            <w:pPr>
              <w:jc w:val="center"/>
              <w:rPr>
                <w:rFonts w:hint="eastAsia"/>
                <w:color w:val="auto"/>
                <w:sz w:val="24"/>
                <w:szCs w:val="24"/>
              </w:rPr>
            </w:pPr>
            <w:r>
              <w:rPr>
                <w:rFonts w:hint="eastAsia"/>
                <w:color w:val="auto"/>
                <w:sz w:val="24"/>
                <w:szCs w:val="24"/>
              </w:rPr>
              <w:t xml:space="preserve">10</w:t>
            </w:r>
            <w:r/>
          </w:p>
        </w:tc>
        <w:tc>
          <w:tcPr>
            <w:tcW w:w="6379" w:type="dxa"/>
            <w:vAlign w:val="center"/>
            <w:textDirection w:val="lrTb"/>
            <w:noWrap w:val="false"/>
          </w:tcPr>
          <w:p>
            <w:pPr>
              <w:jc w:val="both"/>
              <w:rPr>
                <w:color w:val="auto"/>
                <w:sz w:val="24"/>
                <w:szCs w:val="24"/>
              </w:rPr>
            </w:pPr>
            <w:r>
              <w:rPr>
                <w:color w:val="auto"/>
                <w:sz w:val="24"/>
                <w:szCs w:val="24"/>
              </w:rPr>
              <w:t xml:space="preserve">LED冷光源寿命≥50000h得2分，其他不得分；</w:t>
            </w:r>
            <w:r/>
          </w:p>
        </w:tc>
        <w:tc>
          <w:tcPr>
            <w:tcW w:w="1417" w:type="dxa"/>
            <w:vAlign w:val="center"/>
            <w:textDirection w:val="lrTb"/>
            <w:noWrap/>
          </w:tcPr>
          <w:p>
            <w:pPr>
              <w:jc w:val="center"/>
              <w:rPr>
                <w:color w:val="auto"/>
                <w:sz w:val="24"/>
                <w:szCs w:val="24"/>
              </w:rPr>
            </w:pPr>
            <w:r>
              <w:rPr>
                <w:color w:val="auto"/>
                <w:sz w:val="24"/>
                <w:szCs w:val="24"/>
              </w:rPr>
              <w:t xml:space="preserve">2</w:t>
            </w:r>
            <w:r/>
          </w:p>
        </w:tc>
      </w:tr>
      <w:tr>
        <w:trPr>
          <w:jc w:val="center"/>
          <w:trHeight w:val="170"/>
        </w:trPr>
        <w:tc>
          <w:tcPr>
            <w:tcW w:w="704" w:type="dxa"/>
            <w:vAlign w:val="center"/>
            <w:textDirection w:val="lrTb"/>
            <w:noWrap/>
          </w:tcPr>
          <w:p>
            <w:pPr>
              <w:jc w:val="center"/>
              <w:rPr>
                <w:rFonts w:hint="eastAsia"/>
                <w:color w:val="auto"/>
                <w:sz w:val="24"/>
                <w:szCs w:val="24"/>
              </w:rPr>
            </w:pPr>
            <w:r>
              <w:rPr>
                <w:rFonts w:hint="eastAsia"/>
                <w:color w:val="auto"/>
                <w:sz w:val="24"/>
                <w:szCs w:val="24"/>
              </w:rPr>
              <w:t xml:space="preserve">11</w:t>
            </w:r>
            <w:r/>
          </w:p>
        </w:tc>
        <w:tc>
          <w:tcPr>
            <w:tcW w:w="6379" w:type="dxa"/>
            <w:vAlign w:val="center"/>
            <w:textDirection w:val="lrTb"/>
            <w:noWrap/>
          </w:tcPr>
          <w:p>
            <w:pPr>
              <w:jc w:val="both"/>
              <w:rPr>
                <w:color w:val="auto"/>
                <w:sz w:val="24"/>
                <w:szCs w:val="24"/>
              </w:rPr>
            </w:pPr>
            <w:r>
              <w:rPr>
                <w:rFonts w:hint="eastAsia"/>
                <w:color w:val="auto"/>
                <w:sz w:val="24"/>
                <w:szCs w:val="24"/>
              </w:rPr>
              <w:t xml:space="preserve">手术器械可最小化三拆卸设计（手柄、钳杆、钳芯），便于彻底清洗灭菌得</w:t>
            </w:r>
            <w:r>
              <w:rPr>
                <w:color w:val="auto"/>
                <w:sz w:val="24"/>
                <w:szCs w:val="24"/>
              </w:rPr>
              <w:t xml:space="preserve">2分，其他不得分；</w:t>
            </w:r>
            <w:r/>
          </w:p>
        </w:tc>
        <w:tc>
          <w:tcPr>
            <w:tcW w:w="1417" w:type="dxa"/>
            <w:vAlign w:val="center"/>
            <w:textDirection w:val="lrTb"/>
            <w:noWrap/>
          </w:tcPr>
          <w:p>
            <w:pPr>
              <w:jc w:val="center"/>
              <w:rPr>
                <w:color w:val="auto"/>
                <w:sz w:val="24"/>
                <w:szCs w:val="24"/>
              </w:rPr>
            </w:pPr>
            <w:r>
              <w:rPr>
                <w:color w:val="auto"/>
                <w:sz w:val="24"/>
                <w:szCs w:val="24"/>
              </w:rPr>
              <w:t xml:space="preserve">2</w:t>
            </w:r>
            <w:r/>
          </w:p>
        </w:tc>
      </w:tr>
      <w:tr>
        <w:trPr>
          <w:jc w:val="center"/>
          <w:trHeight w:val="170"/>
        </w:trPr>
        <w:tc>
          <w:tcPr>
            <w:tcW w:w="704" w:type="dxa"/>
            <w:vAlign w:val="center"/>
            <w:textDirection w:val="lrTb"/>
            <w:noWrap/>
          </w:tcPr>
          <w:p>
            <w:pPr>
              <w:jc w:val="center"/>
              <w:rPr>
                <w:rFonts w:hint="eastAsia"/>
                <w:color w:val="auto"/>
                <w:sz w:val="24"/>
                <w:szCs w:val="24"/>
              </w:rPr>
            </w:pPr>
            <w:r>
              <w:rPr>
                <w:rFonts w:hint="eastAsia"/>
                <w:color w:val="auto"/>
                <w:sz w:val="24"/>
                <w:szCs w:val="24"/>
              </w:rPr>
              <w:t xml:space="preserve">12</w:t>
            </w:r>
            <w:r/>
          </w:p>
        </w:tc>
        <w:tc>
          <w:tcPr>
            <w:tcW w:w="6379" w:type="dxa"/>
            <w:vAlign w:val="center"/>
            <w:textDirection w:val="lrTb"/>
            <w:noWrap w:val="false"/>
          </w:tcPr>
          <w:p>
            <w:pPr>
              <w:jc w:val="both"/>
              <w:rPr>
                <w:color w:val="auto"/>
                <w:sz w:val="24"/>
                <w:szCs w:val="24"/>
              </w:rPr>
            </w:pPr>
            <w:r>
              <w:rPr>
                <w:rFonts w:hint="eastAsia"/>
                <w:color w:val="auto"/>
                <w:sz w:val="24"/>
                <w:szCs w:val="24"/>
              </w:rPr>
              <w:t xml:space="preserve">宫腔一体镜视场角≥</w:t>
            </w:r>
            <w:r>
              <w:rPr>
                <w:color w:val="auto"/>
                <w:sz w:val="24"/>
                <w:szCs w:val="24"/>
              </w:rPr>
              <w:t xml:space="preserve">90°得2分，其他不得分；</w:t>
            </w:r>
            <w:r/>
          </w:p>
        </w:tc>
        <w:tc>
          <w:tcPr>
            <w:tcW w:w="1417" w:type="dxa"/>
            <w:vAlign w:val="center"/>
            <w:textDirection w:val="lrTb"/>
            <w:noWrap/>
          </w:tcPr>
          <w:p>
            <w:pPr>
              <w:jc w:val="center"/>
              <w:rPr>
                <w:color w:val="auto"/>
                <w:sz w:val="24"/>
                <w:szCs w:val="24"/>
              </w:rPr>
            </w:pPr>
            <w:r>
              <w:rPr>
                <w:color w:val="auto"/>
                <w:sz w:val="24"/>
                <w:szCs w:val="24"/>
              </w:rPr>
              <w:t xml:space="preserve">2</w:t>
            </w:r>
            <w:r/>
          </w:p>
        </w:tc>
      </w:tr>
      <w:tr>
        <w:trPr>
          <w:jc w:val="center"/>
          <w:trHeight w:val="170"/>
        </w:trPr>
        <w:tc>
          <w:tcPr>
            <w:tcW w:w="704" w:type="dxa"/>
            <w:vAlign w:val="center"/>
            <w:textDirection w:val="lrTb"/>
            <w:noWrap/>
          </w:tcPr>
          <w:p>
            <w:pPr>
              <w:jc w:val="center"/>
              <w:rPr>
                <w:rFonts w:hint="eastAsia"/>
                <w:color w:val="auto"/>
                <w:sz w:val="24"/>
                <w:szCs w:val="24"/>
              </w:rPr>
            </w:pPr>
            <w:r>
              <w:rPr>
                <w:rFonts w:hint="eastAsia"/>
                <w:color w:val="auto"/>
                <w:sz w:val="24"/>
                <w:szCs w:val="24"/>
              </w:rPr>
              <w:t xml:space="preserve">13</w:t>
            </w:r>
            <w:r/>
          </w:p>
        </w:tc>
        <w:tc>
          <w:tcPr>
            <w:tcW w:w="6379" w:type="dxa"/>
            <w:vAlign w:val="center"/>
            <w:textDirection w:val="lrTb"/>
            <w:noWrap w:val="false"/>
          </w:tcPr>
          <w:p>
            <w:pPr>
              <w:jc w:val="both"/>
              <w:rPr>
                <w:color w:val="auto"/>
                <w:sz w:val="24"/>
                <w:szCs w:val="24"/>
              </w:rPr>
            </w:pPr>
            <w:r>
              <w:rPr>
                <w:rFonts w:hint="eastAsia"/>
                <w:color w:val="auto"/>
                <w:sz w:val="24"/>
                <w:szCs w:val="24"/>
              </w:rPr>
              <w:t xml:space="preserve">宫腔一体镜视向角≥</w:t>
            </w:r>
            <w:r>
              <w:rPr>
                <w:color w:val="auto"/>
                <w:sz w:val="24"/>
                <w:szCs w:val="24"/>
              </w:rPr>
              <w:t xml:space="preserve">30°得2分，其他不得分；</w:t>
            </w:r>
            <w:r/>
          </w:p>
        </w:tc>
        <w:tc>
          <w:tcPr>
            <w:tcW w:w="1417" w:type="dxa"/>
            <w:vAlign w:val="center"/>
            <w:textDirection w:val="lrTb"/>
            <w:noWrap/>
          </w:tcPr>
          <w:p>
            <w:pPr>
              <w:jc w:val="center"/>
              <w:rPr>
                <w:color w:val="auto"/>
                <w:sz w:val="24"/>
                <w:szCs w:val="24"/>
              </w:rPr>
            </w:pPr>
            <w:r>
              <w:rPr>
                <w:color w:val="auto"/>
                <w:sz w:val="24"/>
                <w:szCs w:val="24"/>
              </w:rPr>
              <w:t xml:space="preserve">2</w:t>
            </w:r>
            <w:r/>
          </w:p>
        </w:tc>
      </w:tr>
      <w:tr>
        <w:trPr>
          <w:jc w:val="center"/>
          <w:trHeight w:val="170"/>
        </w:trPr>
        <w:tc>
          <w:tcPr>
            <w:tcW w:w="704" w:type="dxa"/>
            <w:vAlign w:val="center"/>
            <w:textDirection w:val="lrTb"/>
            <w:noWrap/>
          </w:tcPr>
          <w:p>
            <w:pPr>
              <w:jc w:val="center"/>
              <w:rPr>
                <w:rFonts w:hint="eastAsia"/>
                <w:color w:val="auto"/>
                <w:sz w:val="24"/>
                <w:szCs w:val="24"/>
              </w:rPr>
            </w:pPr>
            <w:r>
              <w:rPr>
                <w:rFonts w:hint="eastAsia"/>
                <w:color w:val="auto"/>
                <w:sz w:val="24"/>
                <w:szCs w:val="24"/>
              </w:rPr>
              <w:t xml:space="preserve">14</w:t>
            </w:r>
            <w:r/>
          </w:p>
        </w:tc>
        <w:tc>
          <w:tcPr>
            <w:tcW w:w="6379" w:type="dxa"/>
            <w:vAlign w:val="center"/>
            <w:textDirection w:val="lrTb"/>
            <w:noWrap w:val="false"/>
          </w:tcPr>
          <w:p>
            <w:pPr>
              <w:jc w:val="both"/>
              <w:rPr>
                <w:color w:val="auto"/>
                <w:sz w:val="24"/>
                <w:szCs w:val="24"/>
              </w:rPr>
            </w:pPr>
            <w:r>
              <w:rPr>
                <w:rFonts w:hint="eastAsia"/>
                <w:color w:val="auto"/>
                <w:sz w:val="24"/>
                <w:szCs w:val="24"/>
              </w:rPr>
              <w:t xml:space="preserve">宫腔一体镜插入部外径≤</w:t>
            </w:r>
            <w:r>
              <w:rPr>
                <w:color w:val="auto"/>
                <w:sz w:val="24"/>
                <w:szCs w:val="24"/>
              </w:rPr>
              <w:t xml:space="preserve">4.9mm得3分，其他不得分；</w:t>
            </w:r>
            <w:r/>
          </w:p>
        </w:tc>
        <w:tc>
          <w:tcPr>
            <w:tcW w:w="1417" w:type="dxa"/>
            <w:vAlign w:val="center"/>
            <w:textDirection w:val="lrTb"/>
            <w:noWrap/>
          </w:tcPr>
          <w:p>
            <w:pPr>
              <w:jc w:val="center"/>
              <w:rPr>
                <w:color w:val="auto"/>
                <w:sz w:val="24"/>
                <w:szCs w:val="24"/>
              </w:rPr>
            </w:pPr>
            <w:r>
              <w:rPr>
                <w:color w:val="auto"/>
                <w:sz w:val="24"/>
                <w:szCs w:val="24"/>
              </w:rPr>
              <w:t xml:space="preserve">3</w:t>
            </w:r>
            <w:r/>
          </w:p>
        </w:tc>
      </w:tr>
      <w:tr>
        <w:trPr>
          <w:jc w:val="center"/>
          <w:trHeight w:val="170"/>
        </w:trPr>
        <w:tc>
          <w:tcPr>
            <w:tcW w:w="704" w:type="dxa"/>
            <w:vAlign w:val="center"/>
            <w:textDirection w:val="lrTb"/>
            <w:noWrap/>
          </w:tcPr>
          <w:p>
            <w:pPr>
              <w:jc w:val="center"/>
              <w:rPr>
                <w:rFonts w:hint="eastAsia"/>
                <w:color w:val="auto"/>
                <w:sz w:val="24"/>
                <w:szCs w:val="24"/>
              </w:rPr>
            </w:pPr>
            <w:r>
              <w:rPr>
                <w:rFonts w:hint="eastAsia"/>
                <w:color w:val="auto"/>
                <w:sz w:val="24"/>
                <w:szCs w:val="24"/>
              </w:rPr>
              <w:t xml:space="preserve">15</w:t>
            </w:r>
            <w:r/>
          </w:p>
        </w:tc>
        <w:tc>
          <w:tcPr>
            <w:tcW w:w="6379" w:type="dxa"/>
            <w:vAlign w:val="center"/>
            <w:textDirection w:val="lrTb"/>
            <w:noWrap w:val="false"/>
          </w:tcPr>
          <w:p>
            <w:pPr>
              <w:jc w:val="both"/>
              <w:rPr>
                <w:color w:val="auto"/>
                <w:sz w:val="24"/>
                <w:szCs w:val="24"/>
              </w:rPr>
            </w:pPr>
            <w:r>
              <w:rPr>
                <w:rFonts w:hint="eastAsia"/>
                <w:color w:val="auto"/>
                <w:sz w:val="24"/>
                <w:szCs w:val="24"/>
              </w:rPr>
              <w:t xml:space="preserve">宫腔镜冷刀镜头插入部外径≤</w:t>
            </w:r>
            <w:r>
              <w:rPr>
                <w:color w:val="auto"/>
                <w:sz w:val="24"/>
                <w:szCs w:val="24"/>
              </w:rPr>
              <w:t xml:space="preserve">6.8mm得2分，其他不得分；</w:t>
            </w:r>
            <w:r/>
          </w:p>
        </w:tc>
        <w:tc>
          <w:tcPr>
            <w:tcW w:w="1417" w:type="dxa"/>
            <w:vAlign w:val="center"/>
            <w:textDirection w:val="lrTb"/>
            <w:noWrap/>
          </w:tcPr>
          <w:p>
            <w:pPr>
              <w:jc w:val="center"/>
              <w:rPr>
                <w:color w:val="auto"/>
                <w:sz w:val="24"/>
                <w:szCs w:val="24"/>
              </w:rPr>
            </w:pPr>
            <w:r>
              <w:rPr>
                <w:color w:val="auto"/>
                <w:sz w:val="24"/>
                <w:szCs w:val="24"/>
              </w:rPr>
              <w:t xml:space="preserve">2</w:t>
            </w:r>
            <w:r/>
          </w:p>
        </w:tc>
      </w:tr>
      <w:tr>
        <w:trPr>
          <w:jc w:val="center"/>
          <w:trHeight w:val="170"/>
        </w:trPr>
        <w:tc>
          <w:tcPr>
            <w:tcW w:w="704" w:type="dxa"/>
            <w:vAlign w:val="center"/>
            <w:textDirection w:val="lrTb"/>
            <w:noWrap/>
          </w:tcPr>
          <w:p>
            <w:pPr>
              <w:jc w:val="center"/>
              <w:rPr>
                <w:rFonts w:hint="eastAsia"/>
                <w:color w:val="auto"/>
                <w:sz w:val="24"/>
                <w:szCs w:val="24"/>
              </w:rPr>
            </w:pPr>
            <w:r>
              <w:rPr>
                <w:rFonts w:hint="eastAsia"/>
                <w:color w:val="auto"/>
                <w:sz w:val="24"/>
                <w:szCs w:val="24"/>
              </w:rPr>
              <w:t xml:space="preserve">16</w:t>
            </w:r>
            <w:r/>
          </w:p>
        </w:tc>
        <w:tc>
          <w:tcPr>
            <w:tcW w:w="6379" w:type="dxa"/>
            <w:vAlign w:val="center"/>
            <w:textDirection w:val="lrTb"/>
            <w:noWrap w:val="false"/>
          </w:tcPr>
          <w:p>
            <w:pPr>
              <w:jc w:val="both"/>
              <w:rPr>
                <w:color w:val="auto"/>
                <w:sz w:val="24"/>
                <w:szCs w:val="24"/>
              </w:rPr>
            </w:pPr>
            <w:r>
              <w:rPr>
                <w:rFonts w:hint="eastAsia"/>
                <w:color w:val="auto"/>
                <w:sz w:val="24"/>
                <w:szCs w:val="24"/>
              </w:rPr>
              <w:t xml:space="preserve">宫腔镜冷刀进出水口可根据手术需求</w:t>
            </w:r>
            <w:r>
              <w:rPr>
                <w:color w:val="auto"/>
                <w:sz w:val="24"/>
                <w:szCs w:val="24"/>
              </w:rPr>
              <w:t xml:space="preserve">360度旋转， 防止进出水路管缠绕得2分，其他不得分；</w:t>
            </w:r>
            <w:r/>
          </w:p>
        </w:tc>
        <w:tc>
          <w:tcPr>
            <w:tcW w:w="1417" w:type="dxa"/>
            <w:vAlign w:val="center"/>
            <w:textDirection w:val="lrTb"/>
            <w:noWrap/>
          </w:tcPr>
          <w:p>
            <w:pPr>
              <w:jc w:val="center"/>
              <w:rPr>
                <w:color w:val="auto"/>
                <w:sz w:val="24"/>
                <w:szCs w:val="24"/>
              </w:rPr>
            </w:pPr>
            <w:r>
              <w:rPr>
                <w:color w:val="auto"/>
                <w:sz w:val="24"/>
                <w:szCs w:val="24"/>
              </w:rPr>
              <w:t xml:space="preserve">2</w:t>
            </w:r>
            <w:r/>
          </w:p>
        </w:tc>
      </w:tr>
      <w:tr>
        <w:trPr>
          <w:jc w:val="center"/>
          <w:trHeight w:val="170"/>
        </w:trPr>
        <w:tc>
          <w:tcPr>
            <w:tcW w:w="704" w:type="dxa"/>
            <w:vAlign w:val="center"/>
            <w:textDirection w:val="lrTb"/>
            <w:noWrap/>
          </w:tcPr>
          <w:p>
            <w:pPr>
              <w:jc w:val="center"/>
              <w:rPr>
                <w:color w:val="auto"/>
                <w:sz w:val="24"/>
                <w:szCs w:val="24"/>
              </w:rPr>
            </w:pPr>
            <w:r>
              <w:rPr>
                <w:color w:val="auto"/>
                <w:sz w:val="24"/>
                <w:szCs w:val="24"/>
              </w:rPr>
            </w:r>
            <w:r/>
          </w:p>
        </w:tc>
        <w:tc>
          <w:tcPr>
            <w:tcW w:w="6379" w:type="dxa"/>
            <w:vAlign w:val="center"/>
            <w:textDirection w:val="lrTb"/>
            <w:noWrap/>
          </w:tcPr>
          <w:p>
            <w:pPr>
              <w:jc w:val="center"/>
              <w:rPr>
                <w:color w:val="auto"/>
                <w:sz w:val="24"/>
                <w:szCs w:val="24"/>
              </w:rPr>
            </w:pPr>
            <w:r>
              <w:rPr>
                <w:color w:val="auto"/>
                <w:sz w:val="24"/>
                <w:szCs w:val="24"/>
              </w:rPr>
              <w:t xml:space="preserve">合计</w:t>
            </w:r>
            <w:r/>
          </w:p>
        </w:tc>
        <w:tc>
          <w:tcPr>
            <w:tcW w:w="1417" w:type="dxa"/>
            <w:vAlign w:val="center"/>
            <w:textDirection w:val="lrTb"/>
            <w:noWrap/>
          </w:tcPr>
          <w:p>
            <w:pPr>
              <w:jc w:val="center"/>
              <w:rPr>
                <w:color w:val="auto"/>
                <w:sz w:val="24"/>
                <w:szCs w:val="24"/>
              </w:rPr>
            </w:pPr>
            <w:r>
              <w:rPr>
                <w:color w:val="auto"/>
                <w:sz w:val="24"/>
                <w:szCs w:val="24"/>
              </w:rPr>
              <w:t xml:space="preserve">40</w:t>
            </w:r>
            <w:r/>
          </w:p>
        </w:tc>
      </w:tr>
    </w:tbl>
    <w:p>
      <w:pPr>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ind w:firstLine="482"/>
        <w:keepLines w:val="0"/>
        <w:keepNext w:val="0"/>
        <w:pageBreakBefore w:val="0"/>
        <w:spacing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售后和服务能力（</w:t>
      </w:r>
      <w:r>
        <w:rPr>
          <w:rFonts w:hint="eastAsia" w:ascii="宋体" w:hAnsi="宋体" w:cs="宋体"/>
          <w:b/>
          <w:bCs/>
          <w:color w:val="auto"/>
          <w:sz w:val="24"/>
          <w:szCs w:val="24"/>
          <w:highlight w:val="none"/>
          <w:lang w:val="en-US" w:eastAsia="zh-CN"/>
        </w:rPr>
        <w:t xml:space="preserve">13</w:t>
      </w:r>
      <w:r>
        <w:rPr>
          <w:rFonts w:hint="eastAsia" w:ascii="宋体" w:hAnsi="宋体" w:cs="宋体"/>
          <w:b/>
          <w:bCs/>
          <w:color w:val="auto"/>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质保期（3分）：以招标文件要求（3年）为基准，每多一年得1分，不超过3分，须提供制造厂商出具的《质量保证及售后服务承诺书》（给定格式）并加盖投标人公章，所投若为进口设备，则由国内总代理出具。</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3.2备用机（1分）：若设备出现故障，24小时内无法解决的，承诺提供备用机得1分，不提供不得分，须提供承诺文件并加盖投标人公章。</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服务方案体系（6分）：投标人保障采购项目能够达到招标文件设定的使用和运行状态而提供的①配送、安装、②调试、培训、③响应时间、④咨询（技术支持）、⑤维修以及应急保障措施等一系列服务方案，无方案不得分。提供的方案内容全面，不漏项且有针对性解释说明：6分；提供的方案内容较为全面，漏缺1项或2项或有1处或2处瑕疵，有针对性解释说明：4分；提供的方案基本全面，漏缺3项或4项或有3处或4处瑕疵，针对性解释说明不强：2分；提供的方案内容不全面，缺漏项或瑕疵过多，缺乏有效的针对性解释说明：不得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服务保障体系（3分）：①投标人保障服务方案的实施而设立的服务机构、配备的相应服务人员、设施装备（1分），②以及相应的服务细则和规范的管理制度（1分），③确保兑现服务承诺、保证服务质量的措施（1分）。以上内容不存在瑕疵、漏项得相应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4.业绩（5分）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销售业绩及客户评价比较，近二年主要业绩（5分）：提供投标人与终端用户签订的与本次招标采购项目类似产品的完整销售合同复印件，有一例得2.5分，最高不超过5分, 须加盖投标单位电子公章。</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5.政策性因素（2分）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依据财政部、发展改革委发布的《节能产品政府采购品目清单》和财政部、生态环境部发布的《环境标志产品政府采购品目清单》，投标产品为政府采购节能（政府强制采购节能产品除外）、环保产品分别得0.5分（投标时须提供所投产品由国家确定的认证机构出具的、处于有效期之内的节能产品认证证书复印件、环境标志产品认证证书复印件，否则不得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5.2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bookmarkEnd w:id="185"/>
      <w:r/>
      <w:bookmarkEnd w:id="186"/>
      <w:r/>
      <w:bookmarkEnd w:id="192"/>
      <w:r/>
      <w:bookmarkEnd w:id="193"/>
      <w:r/>
      <w:bookmarkEnd w:id="208"/>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 xml:space="preserve">第六章  投标文件内容与格式</w:t>
      </w:r>
      <w:r/>
    </w:p>
    <w:p>
      <w:pPr>
        <w:pStyle w:val="1034"/>
        <w:ind w:firstLine="602"/>
        <w:spacing w:before="0" w:after="0" w:line="500" w:lineRule="exact"/>
        <w:rPr>
          <w:rFonts w:cs="Arial"/>
          <w:b/>
          <w:color w:val="000000" w:themeColor="text1"/>
          <w:sz w:val="30"/>
          <w:szCs w:val="30"/>
          <w14:textFill>
            <w14:solidFill>
              <w14:schemeClr w14:val="tx1"/>
            </w14:solidFill>
          </w14:textFill>
        </w:rPr>
      </w:pPr>
      <w:r/>
      <w:bookmarkStart w:id="209" w:name="_Hlt26671244"/>
      <w:r/>
      <w:bookmarkEnd w:id="209"/>
      <w:r/>
      <w:bookmarkStart w:id="210" w:name="_Hlt26955039"/>
      <w:r/>
      <w:bookmarkEnd w:id="210"/>
      <w:r/>
      <w:bookmarkStart w:id="211" w:name="_Toc26554094"/>
      <w:r/>
      <w:bookmarkStart w:id="212" w:name="_Toc120614282"/>
      <w:r/>
      <w:bookmarkStart w:id="213" w:name="_Toc49090576"/>
      <w:r>
        <w:rPr>
          <w:rFonts w:hint="eastAsia" w:cs="Arial"/>
          <w:b/>
          <w:color w:val="000000" w:themeColor="text1"/>
          <w:sz w:val="30"/>
          <w:szCs w:val="30"/>
          <w14:textFill>
            <w14:solidFill>
              <w14:schemeClr w14:val="tx1"/>
            </w14:solidFill>
          </w14:textFill>
        </w:rPr>
        <w:t xml:space="preserve">第一部分  投标文件内容</w:t>
      </w:r>
      <w:r/>
    </w:p>
    <w:p>
      <w:pPr>
        <w:pStyle w:val="1034"/>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7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4"/>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1034"/>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2449" w:type="dxa"/>
            <w:vAlign w:val="center"/>
            <w:textDirection w:val="lrTb"/>
            <w:noWrap w:val="false"/>
          </w:tcPr>
          <w:p>
            <w:pPr>
              <w:pStyle w:val="1034"/>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4"/>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684"/>
        </w:trPr>
        <w:tc>
          <w:tcPr>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3"/>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963"/>
        </w:trPr>
        <w:tc>
          <w:tcPr>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023"/>
        </w:trPr>
        <w:tc>
          <w:tcPr>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4"/>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0"/>
        </w:trPr>
        <w:tc>
          <w:tcPr>
            <w:tcW w:w="719" w:type="dxa"/>
            <w:vAlign w:val="center"/>
            <w:textDirection w:val="lrTb"/>
            <w:noWrap w:val="false"/>
          </w:tcPr>
          <w:p>
            <w:pPr>
              <w:pStyle w:val="1034"/>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jc w:val="center"/>
          <w:trHeight w:val="726"/>
        </w:trPr>
        <w:tc>
          <w:tcPr>
            <w:tcW w:w="719" w:type="dxa"/>
            <w:vAlign w:val="center"/>
            <w:textDirection w:val="lrTb"/>
            <w:noWrap w:val="false"/>
          </w:tcPr>
          <w:p>
            <w:pPr>
              <w:pStyle w:val="1034"/>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w:t>
            </w:r>
            <w:r/>
          </w:p>
        </w:tc>
        <w:tc>
          <w:tcPr>
            <w:tcW w:w="2449" w:type="dxa"/>
            <w:vAlign w:val="center"/>
            <w:textDirection w:val="lrTb"/>
            <w:noWrap w:val="false"/>
          </w:tcPr>
          <w:p>
            <w:pPr>
              <w:pStyle w:val="1034"/>
              <w:ind w:firstLine="0"/>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4"/>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《联合体协议》（如有，格式自拟）。</w:t>
            </w:r>
            <w:r/>
          </w:p>
        </w:tc>
        <w:tc>
          <w:tcPr>
            <w:tcW w:w="2449" w:type="dxa"/>
            <w:vAlign w:val="center"/>
            <w:textDirection w:val="lrTb"/>
            <w:noWrap w:val="false"/>
          </w:tcPr>
          <w:p>
            <w:pPr>
              <w:pStyle w:val="1034"/>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4"/>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1034"/>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1979" w:type="dxa"/>
            <w:vAlign w:val="center"/>
            <w:textDirection w:val="lrTb"/>
            <w:noWrap w:val="false"/>
          </w:tcPr>
          <w:p>
            <w:pPr>
              <w:pStyle w:val="1034"/>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1034"/>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1034"/>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1034"/>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1034"/>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1034"/>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1034"/>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1034"/>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《采购需求》中如有要求须提供的证明文件</w:t>
            </w:r>
            <w:r/>
          </w:p>
        </w:tc>
        <w:tc>
          <w:tcPr>
            <w:tcW w:w="1979" w:type="dxa"/>
            <w:vAlign w:val="center"/>
            <w:vMerge w:val="continue"/>
            <w:textDirection w:val="lrTb"/>
            <w:noWrap w:val="false"/>
          </w:tcPr>
          <w:p>
            <w:pPr>
              <w:pStyle w:val="103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6095" w:type="dxa"/>
            <w:vAlign w:val="center"/>
            <w:textDirection w:val="lrTb"/>
            <w:noWrap w:val="false"/>
          </w:tcPr>
          <w:p>
            <w:pPr>
              <w:pStyle w:val="1034"/>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4"/>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p>
        </w:tc>
        <w:tc>
          <w:tcPr>
            <w:tcW w:w="6095" w:type="dxa"/>
            <w:vAlign w:val="center"/>
            <w:textDirection w:val="lrTb"/>
            <w:noWrap w:val="false"/>
          </w:tcPr>
          <w:p>
            <w:pPr>
              <w:pStyle w:val="1034"/>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4"/>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7"/>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olor w:val="000000" w:themeColor="text1"/>
          <w:sz w:val="24"/>
          <w:szCs w:val="24"/>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1034"/>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ind w:firstLine="1800"/>
        <w:rPr>
          <w:rFonts w:hint="default" w:ascii="黑体" w:hAnsi="华文中宋" w:eastAsia="黑体"/>
          <w:bCs/>
          <w:color w:val="000000" w:themeColor="text1"/>
          <w:sz w:val="30"/>
          <w:szCs w:val="30"/>
          <w:lang w:val="en-US"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w:t>
      </w:r>
      <w:r>
        <w:rPr>
          <w:rFonts w:hint="eastAsia" w:ascii="黑体" w:hAnsi="华文中宋" w:eastAsia="黑体"/>
          <w:bCs/>
          <w:color w:val="000000" w:themeColor="text1"/>
          <w:sz w:val="30"/>
          <w:szCs w:val="30"/>
          <w:lang w:eastAsia="zh-CN"/>
          <w14:textFill>
            <w14:solidFill>
              <w14:schemeClr w14:val="tx1"/>
            </w14:solidFill>
          </w14:textFill>
        </w:rPr>
        <w:t xml:space="preserve">JSZC-320200-XWJC-G2025-0021</w:t>
      </w:r>
      <w:r/>
    </w:p>
    <w:p>
      <w:pPr>
        <w:ind w:left="3300" w:hanging="15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color w:val="000000" w:themeColor="text1"/>
          <w:sz w:val="32"/>
          <w:szCs w:val="32"/>
          <w:lang w:eastAsia="zh-CN"/>
          <w14:textFill>
            <w14:solidFill>
              <w14:schemeClr w14:val="tx1"/>
            </w14:solidFill>
          </w14:textFill>
        </w:rPr>
        <w:t xml:space="preserve">无锡市妇幼保健院宫腔镜手术系统项目（第二次）</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rPr>
          <w:rFonts w:hint="eastAsia"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1032"/>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lang w:eastAsia="zh-CN"/>
          <w14:textFill>
            <w14:solidFill>
              <w14:schemeClr w14:val="tx1"/>
            </w14:solidFill>
          </w14:textFill>
        </w:rPr>
        <w:t xml:space="preserve">JSZC-320200-XWJC-G2025-0021</w:t>
      </w:r>
      <w:r>
        <w:rPr>
          <w:rFonts w:hint="eastAsia" w:ascii="宋体" w:hAnsi="宋体"/>
          <w:bCs/>
          <w:color w:val="000000" w:themeColor="text1"/>
          <w:sz w:val="24"/>
          <w:szCs w:val="24"/>
          <w14:textFill>
            <w14:solidFill>
              <w14:schemeClr w14:val="tx1"/>
            </w14:solidFill>
          </w14:textFill>
        </w:rPr>
        <w:t xml:space="preserve">项目，兹授权：</w:t>
      </w:r>
      <w:r/>
    </w:p>
    <w:p>
      <w:pPr>
        <w:pStyle w:val="1032"/>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32"/>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32"/>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1032"/>
        <w:ind w:firstLine="480"/>
        <w:rPr>
          <w:rFonts w:hint="eastAsia"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1032"/>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1032"/>
        <w:ind w:firstLine="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1032"/>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被授权人签字：</w:t>
      </w:r>
      <w:r>
        <w:rPr>
          <w:rFonts w:hint="eastAsia"/>
          <w:color w:val="000000" w:themeColor="text1"/>
          <w:sz w:val="24"/>
          <w:szCs w:val="24"/>
          <w:u w:val="single"/>
          <w14:textFill>
            <w14:solidFill>
              <w14:schemeClr w14:val="tx1"/>
            </w14:solidFill>
          </w14:textFill>
        </w:rPr>
        <w:t xml:space="preserve">        </w:t>
      </w:r>
      <w:r/>
    </w:p>
    <w:p>
      <w:pPr>
        <w:pStyle w:val="1032"/>
        <w:ind w:firstLine="0"/>
        <w:rPr>
          <w:color w:val="000000" w:themeColor="text1"/>
          <w:sz w:val="24"/>
          <w:szCs w:val="24"/>
          <w14:textFill>
            <w14:solidFill>
              <w14:schemeClr w14:val="tx1"/>
            </w14:solidFill>
          </w14:textFill>
        </w:rPr>
      </w:pPr>
      <w:r>
        <w:rPr>
          <w:rFonts w:hint="eastAsia" w:ascii="宋体" w:hAnsi="宋体" w:cs="宋体"/>
          <w:b/>
          <w:color w:val="000000" w:themeColor="text1"/>
          <w:sz w:val="30"/>
          <w14:textFill>
            <w14:solidFill>
              <w14:schemeClr w14:val="tx1"/>
            </w14:solidFill>
          </w14:textFill>
        </w:rPr>
        <w:t xml:space="preserve">（被授权人身份证原件扫描件附后）</w:t>
      </w:r>
      <w:r/>
    </w:p>
    <w:p>
      <w:pPr>
        <w:pStyle w:val="1032"/>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说明：</w:t>
      </w:r>
      <w:r/>
    </w:p>
    <w:p>
      <w:pPr>
        <w:pStyle w:val="1032"/>
        <w:numPr>
          <w:ilvl w:val="0"/>
          <w:numId w:val="8"/>
        </w:numPr>
        <w:ind w:firstLine="480"/>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若</w:t>
      </w:r>
      <w:r>
        <w:rPr>
          <w:rFonts w:hint="eastAsia" w:ascii="宋体" w:hAnsi="宋体"/>
          <w:color w:val="000000" w:themeColor="text1"/>
          <w:sz w:val="24"/>
          <w:szCs w:val="20"/>
          <w14:textFill>
            <w14:solidFill>
              <w14:schemeClr w14:val="tx1"/>
            </w14:solidFill>
          </w14:textFill>
        </w:rPr>
        <w:t xml:space="preserve">投标人</w:t>
      </w:r>
      <w:r>
        <w:rPr>
          <w:rFonts w:ascii="宋体" w:hAnsi="宋体"/>
          <w:color w:val="000000" w:themeColor="text1"/>
          <w:sz w:val="24"/>
          <w:szCs w:val="20"/>
          <w14:textFill>
            <w14:solidFill>
              <w14:schemeClr w14:val="tx1"/>
            </w14:solidFill>
          </w14:textFill>
        </w:rPr>
        <w:t xml:space="preserve">为事业单位或其他组织或分支机构（仅</w:t>
      </w:r>
      <w:r>
        <w:rPr>
          <w:rFonts w:hint="eastAsia" w:ascii="宋体" w:hAnsi="宋体"/>
          <w:color w:val="000000" w:themeColor="text1"/>
          <w:sz w:val="24"/>
          <w:szCs w:val="20"/>
          <w14:textFill>
            <w14:solidFill>
              <w14:schemeClr w14:val="tx1"/>
            </w14:solidFill>
          </w14:textFill>
        </w:rPr>
        <w:t xml:space="preserve">限招标</w:t>
      </w:r>
      <w:r>
        <w:rPr>
          <w:rFonts w:ascii="宋体" w:hAnsi="宋体"/>
          <w:color w:val="000000" w:themeColor="text1"/>
          <w:sz w:val="24"/>
          <w:szCs w:val="20"/>
          <w14:textFill>
            <w14:solidFill>
              <w14:schemeClr w14:val="tx1"/>
            </w14:solidFill>
          </w14:textFill>
        </w:rPr>
        <w:t xml:space="preserve">文件注明允许分支机构</w:t>
      </w:r>
      <w:r>
        <w:rPr>
          <w:rFonts w:hint="eastAsia" w:ascii="宋体" w:hAnsi="宋体"/>
          <w:color w:val="000000" w:themeColor="text1"/>
          <w:sz w:val="24"/>
          <w:szCs w:val="20"/>
          <w14:textFill>
            <w14:solidFill>
              <w14:schemeClr w14:val="tx1"/>
            </w14:solidFill>
          </w14:textFill>
        </w:rPr>
        <w:t xml:space="preserve">投标情形</w:t>
      </w:r>
      <w:r>
        <w:rPr>
          <w:rFonts w:ascii="宋体" w:hAnsi="宋体"/>
          <w:color w:val="000000" w:themeColor="text1"/>
          <w:sz w:val="24"/>
          <w:szCs w:val="20"/>
          <w14:textFill>
            <w14:solidFill>
              <w14:schemeClr w14:val="tx1"/>
            </w14:solidFill>
          </w14:textFill>
        </w:rPr>
        <w:t xml:space="preserve">的），则法定代表人</w:t>
      </w:r>
      <w:r>
        <w:rPr>
          <w:rFonts w:hint="eastAsia" w:ascii="宋体" w:hAnsi="宋体"/>
          <w:color w:val="000000" w:themeColor="text1"/>
          <w:sz w:val="24"/>
          <w:szCs w:val="20"/>
          <w14:textFill>
            <w14:solidFill>
              <w14:schemeClr w14:val="tx1"/>
            </w14:solidFill>
          </w14:textFill>
        </w:rPr>
        <w:t xml:space="preserve">处</w:t>
      </w:r>
      <w:r>
        <w:rPr>
          <w:rFonts w:ascii="宋体" w:hAnsi="宋体"/>
          <w:color w:val="000000" w:themeColor="text1"/>
          <w:sz w:val="24"/>
          <w:szCs w:val="20"/>
          <w14:textFill>
            <w14:solidFill>
              <w14:schemeClr w14:val="tx1"/>
            </w14:solidFill>
          </w14:textFill>
        </w:rPr>
        <w:t xml:space="preserve">的签</w:t>
      </w:r>
      <w:r>
        <w:rPr>
          <w:rFonts w:hint="eastAsia" w:ascii="宋体" w:hAnsi="宋体"/>
          <w:color w:val="000000" w:themeColor="text1"/>
          <w:sz w:val="24"/>
          <w:szCs w:val="20"/>
          <w14:textFill>
            <w14:solidFill>
              <w14:schemeClr w14:val="tx1"/>
            </w14:solidFill>
          </w14:textFill>
        </w:rPr>
        <w:t xml:space="preserve">字</w:t>
      </w:r>
      <w:r>
        <w:rPr>
          <w:rFonts w:ascii="宋体" w:hAnsi="宋体"/>
          <w:color w:val="000000" w:themeColor="text1"/>
          <w:sz w:val="24"/>
          <w:szCs w:val="20"/>
          <w14:textFill>
            <w14:solidFill>
              <w14:schemeClr w14:val="tx1"/>
            </w14:solidFill>
          </w14:textFill>
        </w:rPr>
        <w:t xml:space="preserve">人可为单位负责人</w:t>
      </w:r>
      <w:r>
        <w:rPr>
          <w:rFonts w:hint="eastAsia" w:ascii="宋体" w:hAnsi="宋体"/>
          <w:color w:val="000000" w:themeColor="text1"/>
          <w:sz w:val="24"/>
          <w:szCs w:val="20"/>
          <w14:textFill>
            <w14:solidFill>
              <w14:schemeClr w14:val="tx1"/>
            </w14:solidFill>
          </w14:textFill>
        </w:rPr>
        <w:t xml:space="preserve">。</w:t>
      </w:r>
      <w:r/>
    </w:p>
    <w:p>
      <w:pPr>
        <w:pStyle w:val="1032"/>
        <w:numPr>
          <w:ilvl w:val="0"/>
          <w:numId w:val="8"/>
        </w:numPr>
        <w:ind w:firstLine="480"/>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14:textFill>
            <w14:solidFill>
              <w14:schemeClr w14:val="tx1"/>
            </w14:solidFill>
          </w14:textFill>
        </w:rPr>
        <w:t xml:space="preserve">法定代表人</w:t>
      </w:r>
      <w:r>
        <w:rPr>
          <w:rFonts w:hint="eastAsia" w:ascii="宋体" w:hAnsi="宋体"/>
          <w:color w:val="000000" w:themeColor="text1"/>
          <w:sz w:val="24"/>
          <w:szCs w:val="20"/>
          <w14:textFill>
            <w14:solidFill>
              <w14:schemeClr w14:val="tx1"/>
            </w14:solidFill>
          </w14:textFill>
        </w:rPr>
        <w:t xml:space="preserve">处签字即可。</w:t>
      </w:r>
      <w:r/>
    </w:p>
    <w:p>
      <w:pPr>
        <w:pStyle w:val="1032"/>
        <w:numPr>
          <w:ilvl w:val="0"/>
          <w:numId w:val="8"/>
        </w:numPr>
        <w:ind w:firstLine="480"/>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供应商为自然人情形的，可不提供本</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授权委托书</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w:t>
      </w:r>
      <w:r/>
    </w:p>
    <w:p>
      <w:pPr>
        <w:pStyle w:val="1032"/>
        <w:numPr>
          <w:ilvl w:val="0"/>
          <w:numId w:val="8"/>
        </w:numPr>
        <w:ind w:firstLine="480"/>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被授权人为外籍、港、澳、台地区人士的，其身份证明须提供有效的护照或港澳同胞来往内地通行证、台湾同胞来往大陆通行证，或</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可在中国大陆有效居留的许可证明。</w:t>
      </w:r>
      <w:r/>
    </w:p>
    <w:p>
      <w:pPr>
        <w:pStyle w:val="1032"/>
        <w:ind w:firstLine="0"/>
        <w:rPr>
          <w:rFonts w:hint="eastAsia"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214" w:name="报价方关于资格的声明函（格式）"/>
      <w:r/>
      <w:bookmarkEnd w:id="214"/>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无锡市卫生健康综合服务中心：</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w:t>
      </w:r>
      <w:r>
        <w:rPr>
          <w:rFonts w:hint="eastAsia" w:ascii="宋体" w:hAnsi="宋体"/>
          <w:bCs/>
          <w:color w:val="000000" w:themeColor="text1"/>
          <w:sz w:val="24"/>
          <w:szCs w:val="24"/>
          <w:lang w:eastAsia="zh-CN"/>
          <w14:textFill>
            <w14:solidFill>
              <w14:schemeClr w14:val="tx1"/>
            </w14:solidFill>
          </w14:textFill>
        </w:rPr>
        <w:t xml:space="preserve">JSZC-320200-XWJC-G2025-0021</w:t>
      </w:r>
      <w:r>
        <w:rPr>
          <w:rFonts w:hint="eastAsia" w:ascii="宋体" w:hAnsi="宋体"/>
          <w:bCs/>
          <w:color w:val="000000" w:themeColor="text1"/>
          <w:sz w:val="24"/>
          <w:szCs w:val="24"/>
          <w14:textFill>
            <w14:solidFill>
              <w14:schemeClr w14:val="tx1"/>
            </w14:solidFill>
          </w14:textFill>
        </w:rPr>
        <w:t xml:space="preserve">进行投标，并</w:t>
      </w:r>
      <w:r>
        <w:rPr>
          <w:rFonts w:hint="eastAsia" w:ascii="宋体" w:hAnsi="宋体"/>
          <w:bCs/>
          <w:color w:val="000000" w:themeColor="text1"/>
          <w:sz w:val="24"/>
          <w:szCs w:val="24"/>
          <w:lang w:eastAsia="zh-CN"/>
          <w14:textFill>
            <w14:solidFill>
              <w14:schemeClr w14:val="tx1"/>
            </w14:solidFill>
          </w14:textFill>
        </w:rPr>
        <w:t xml:space="preserve">作</w:t>
      </w:r>
      <w:r>
        <w:rPr>
          <w:rFonts w:hint="eastAsia" w:ascii="宋体" w:hAnsi="宋体"/>
          <w:bCs/>
          <w:color w:val="000000" w:themeColor="text1"/>
          <w:sz w:val="24"/>
          <w:szCs w:val="24"/>
          <w14:textFill>
            <w14:solidFill>
              <w14:schemeClr w14:val="tx1"/>
            </w14:solidFill>
          </w14:textFill>
        </w:rPr>
        <w:t xml:space="preserve">如下声明</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 </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30"/>
          <w:szCs w:val="30"/>
          <w14:textFill>
            <w14:solidFill>
              <w14:schemeClr w14:val="tx1"/>
            </w14:solidFill>
          </w14:textFill>
        </w:rPr>
      </w:pPr>
      <w:r>
        <w:rPr>
          <w:color w:val="000000" w:themeColor="text1"/>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五</w:t>
      </w:r>
      <w:r>
        <w:rPr>
          <w:rFonts w:hint="eastAsia" w:ascii="宋体" w:hAnsi="宋体" w:cs="宋体"/>
          <w:b/>
          <w:color w:val="000000" w:themeColor="text1"/>
          <w:sz w:val="30"/>
          <w:szCs w:val="30"/>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4"/>
        <w:rPr>
          <w:rFonts w:hint="eastAsia"/>
        </w:rPr>
      </w:pPr>
      <w:r>
        <w:rPr>
          <w:rFonts w:hint="eastAsia"/>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lang w:val="en-US" w:eastAsia="zh-CN"/>
          <w14:textFill>
            <w14:solidFill>
              <w14:schemeClr w14:val="tx1"/>
            </w14:solidFill>
          </w14:textFill>
        </w:rPr>
        <w:t xml:space="preserve">七</w:t>
      </w:r>
      <w:r>
        <w:rPr>
          <w:b/>
          <w:color w:val="000000" w:themeColor="text1"/>
          <w:sz w:val="30"/>
          <w:szCs w:val="30"/>
          <w14:textFill>
            <w14:solidFill>
              <w14:schemeClr w14:val="tx1"/>
            </w14:solidFill>
          </w14:textFill>
        </w:rPr>
        <w:t xml:space="preserve">、投标函</w:t>
      </w:r>
      <w:r>
        <w:rPr>
          <w:rFonts w:hint="eastAsia"/>
          <w:b/>
          <w:color w:val="000000" w:themeColor="text1"/>
          <w:sz w:val="30"/>
          <w:szCs w:val="30"/>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w:t>
      </w:r>
      <w:r>
        <w:rPr>
          <w:rFonts w:hint="eastAsia" w:ascii="宋体" w:hAnsi="宋体"/>
          <w:bCs/>
          <w:color w:val="000000" w:themeColor="text1"/>
          <w:sz w:val="24"/>
          <w:szCs w:val="24"/>
          <w:lang w:eastAsia="zh-CN"/>
          <w14:textFill>
            <w14:solidFill>
              <w14:schemeClr w14:val="tx1"/>
            </w14:solidFill>
          </w14:textFill>
        </w:rPr>
        <w:t xml:space="preserve">JSZC-320200-XWJC-G2025-0021</w:t>
      </w:r>
      <w:r>
        <w:rPr>
          <w:rFonts w:hint="eastAsia" w:ascii="宋体" w:hAnsi="宋体"/>
          <w:bCs/>
          <w:color w:val="000000" w:themeColor="text1"/>
          <w:sz w:val="24"/>
          <w:szCs w:val="24"/>
          <w14:textFill>
            <w14:solidFill>
              <w14:schemeClr w14:val="tx1"/>
            </w14:solidFill>
          </w14:textFill>
        </w:rPr>
        <w:t xml:space="preserve">招标文件，经仔细阅读和研究，我方决定参加此项目的投标。</w:t>
      </w:r>
      <w:r/>
    </w:p>
    <w:p>
      <w:pPr>
        <w:numPr>
          <w:ilvl w:val="0"/>
          <w:numId w:val="9"/>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21"/>
          <w:rFonts w:hint="eastAsia"/>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我方愿意提供无锡市卫生健康综合服务中心在招标文件中要求的文件、资料。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w:t>
      </w:r>
      <w:r>
        <w:rPr>
          <w:rFonts w:hint="eastAsia" w:ascii="宋体" w:hAnsi="宋体"/>
          <w:bCs/>
          <w:color w:val="000000" w:themeColor="text1"/>
          <w:sz w:val="24"/>
          <w:szCs w:val="24"/>
          <w:lang w:eastAsia="zh-CN"/>
          <w14:textFill>
            <w14:solidFill>
              <w14:schemeClr w14:val="tx1"/>
            </w14:solidFill>
          </w14:textFill>
        </w:rPr>
        <w:t xml:space="preserve">按照</w:t>
      </w:r>
      <w:r>
        <w:rPr>
          <w:rFonts w:hint="eastAsia" w:ascii="宋体" w:hAnsi="宋体"/>
          <w:bCs/>
          <w:color w:val="000000" w:themeColor="text1"/>
          <w:sz w:val="24"/>
          <w:szCs w:val="24"/>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w:t>
      </w:r>
      <w:r>
        <w:rPr>
          <w:rFonts w:hint="eastAsia" w:ascii="宋体" w:hAnsi="宋体"/>
          <w:bCs/>
          <w:color w:val="000000" w:themeColor="text1"/>
          <w:sz w:val="24"/>
          <w:szCs w:val="24"/>
          <w:lang w:eastAsia="zh-CN"/>
          <w14:textFill>
            <w14:solidFill>
              <w14:schemeClr w14:val="tx1"/>
            </w14:solidFill>
          </w14:textFill>
        </w:rPr>
        <w:t xml:space="preserve">按照</w:t>
      </w:r>
      <w:r>
        <w:rPr>
          <w:rFonts w:hint="eastAsia" w:ascii="宋体" w:hAnsi="宋体"/>
          <w:bCs/>
          <w:color w:val="000000" w:themeColor="text1"/>
          <w:sz w:val="24"/>
          <w:szCs w:val="24"/>
          <w14:textFill>
            <w14:solidFill>
              <w14:schemeClr w14:val="tx1"/>
            </w14:solidFill>
          </w14:textFill>
        </w:rPr>
        <w:t xml:space="preserve">《中华人民共和国民法典》、财政部《政府采购货物和服务招标投标管理办法》等相关法律法规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；传真：</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；邮编：</w:t>
      </w:r>
      <w:r>
        <w:rPr>
          <w:rFonts w:hint="eastAsia" w:ascii="宋体" w:hAnsi="宋体"/>
          <w:bCs/>
          <w:color w:val="000000" w:themeColor="text1"/>
          <w:sz w:val="24"/>
          <w:szCs w:val="24"/>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rPr>
          <w:rFonts w:hint="eastAsia" w:ascii="宋体" w:hAnsi="宋体"/>
          <w:bCs/>
          <w:color w:val="000000" w:themeColor="text1"/>
          <w:sz w:val="24"/>
          <w:szCs w:val="24"/>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30"/>
          <w:szCs w:val="3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lang w:val="en-US" w:eastAsia="zh-CN"/>
          <w14:textFill>
            <w14:solidFill>
              <w14:schemeClr w14:val="tx1"/>
            </w14:solidFill>
          </w14:textFill>
        </w:rPr>
        <w:t xml:space="preserve">八</w:t>
      </w:r>
      <w:r>
        <w:rPr>
          <w:rFonts w:hint="eastAsia"/>
          <w:b/>
          <w:color w:val="000000" w:themeColor="text1"/>
          <w:sz w:val="30"/>
          <w:szCs w:val="30"/>
          <w14:textFill>
            <w14:solidFill>
              <w14:schemeClr w14:val="tx1"/>
            </w14:solidFill>
          </w14:textFill>
        </w:rPr>
        <w:t xml:space="preserve">、承诺书（给定格式）：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名称）针对本项目</w:t>
      </w:r>
      <w:r>
        <w:rPr>
          <w:rFonts w:hint="eastAsia" w:ascii="宋体" w:hAnsi="宋体"/>
          <w:bCs/>
          <w:color w:val="000000" w:themeColor="text1"/>
          <w:sz w:val="24"/>
          <w:szCs w:val="24"/>
          <w:lang w:eastAsia="zh-CN"/>
          <w14:textFill>
            <w14:solidFill>
              <w14:schemeClr w14:val="tx1"/>
            </w14:solidFill>
          </w14:textFill>
        </w:rPr>
        <w:t xml:space="preserve">JSZC-320200-XWJC-G2025-0021</w:t>
      </w:r>
      <w:r>
        <w:rPr>
          <w:rFonts w:hint="eastAsia" w:ascii="宋体" w:hAnsi="宋体"/>
          <w:color w:val="000000" w:themeColor="text1"/>
          <w:sz w:val="24"/>
          <w:szCs w:val="24"/>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lang w:eastAsia="zh-CN"/>
          <w14:textFill>
            <w14:solidFill>
              <w14:schemeClr w14:val="tx1"/>
            </w14:solidFill>
          </w14:textFill>
        </w:rPr>
        <w:t xml:space="preserve">按照</w:t>
      </w:r>
      <w:r>
        <w:rPr>
          <w:rFonts w:hint="eastAsia" w:ascii="宋体"/>
          <w:bCs/>
          <w:color w:val="000000" w:themeColor="text1"/>
          <w:sz w:val="24"/>
          <w:szCs w:val="24"/>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3.本项目中如有涉及数据中心相关设备、运维服务的，本公司（单位）将</w:t>
      </w:r>
      <w:r>
        <w:rPr>
          <w:rFonts w:hint="eastAsia" w:ascii="宋体" w:hAnsi="宋体"/>
          <w:color w:val="000000" w:themeColor="text1"/>
          <w:sz w:val="24"/>
          <w:szCs w:val="24"/>
          <w:lang w:eastAsia="zh-CN"/>
          <w14:textFill>
            <w14:solidFill>
              <w14:schemeClr w14:val="tx1"/>
            </w14:solidFill>
          </w14:textFill>
        </w:rPr>
        <w:t xml:space="preserve">按照</w:t>
      </w:r>
      <w:r>
        <w:rPr>
          <w:rFonts w:hint="eastAsia" w:ascii="宋体" w:hAnsi="宋体"/>
          <w:color w:val="000000" w:themeColor="text1"/>
          <w:sz w:val="24"/>
          <w:szCs w:val="24"/>
          <w14:textFill>
            <w14:solidFill>
              <w14:schemeClr w14:val="tx1"/>
            </w14:solidFill>
          </w14:textFill>
        </w:rPr>
        <w:t xml:space="preserve">《关于印发〈绿色数据中心政府采购需求标准（试行）〉的通知》（财办库〔2023〕7号）文件执行；所提供的数据中心相关设备、运维服务均符合《绿色数据中心政府采购需求标准（试行）》的指标及标准。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14:textFill>
            <w14:solidFill>
              <w14:schemeClr w14:val="tx1"/>
            </w14:solidFill>
          </w14:textFill>
        </w:rPr>
        <w:t xml:space="preserve">本公司（单位）所投产品将</w:t>
      </w:r>
      <w:r>
        <w:rPr>
          <w:rFonts w:hint="eastAsia" w:ascii="宋体" w:hAnsi="宋体" w:cs="宋体"/>
          <w:color w:val="000000" w:themeColor="text1"/>
          <w:sz w:val="24"/>
          <w:szCs w:val="24"/>
          <w14:textFill>
            <w14:solidFill>
              <w14:schemeClr w14:val="tx1"/>
            </w14:solidFill>
          </w14:textFill>
        </w:rPr>
        <w:t xml:space="preserve">满足招标文件要求。如采购人在</w:t>
      </w:r>
      <w:r>
        <w:rPr>
          <w:rFonts w:hint="eastAsia" w:ascii="宋体"/>
          <w:bCs/>
          <w:color w:val="000000" w:themeColor="text1"/>
          <w:sz w:val="24"/>
          <w:szCs w:val="24"/>
          <w14:textFill>
            <w14:solidFill>
              <w14:schemeClr w14:val="tx1"/>
            </w14:solidFill>
          </w14:textFill>
        </w:rPr>
        <w:t xml:space="preserve">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372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rPr>
          <w:b/>
          <w:color w:val="000000" w:themeColor="text1"/>
          <w:sz w:val="30"/>
          <w:szCs w:val="30"/>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lang w:val="en-US" w:eastAsia="zh-CN"/>
          <w14:textFill>
            <w14:solidFill>
              <w14:schemeClr w14:val="tx1"/>
            </w14:solidFill>
          </w14:textFill>
        </w:rPr>
        <w:t xml:space="preserve">九</w:t>
      </w:r>
      <w:r>
        <w:rPr>
          <w:rFonts w:hint="eastAsia"/>
          <w:b/>
          <w:color w:val="000000" w:themeColor="text1"/>
          <w:sz w:val="30"/>
          <w:szCs w:val="30"/>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 项目编号：</w:t>
      </w:r>
      <w:r>
        <w:rPr>
          <w:rFonts w:hint="eastAsia" w:ascii="黑体" w:eastAsia="黑体"/>
          <w:bCs/>
          <w:color w:val="000000" w:themeColor="text1"/>
          <w:sz w:val="24"/>
          <w:szCs w:val="24"/>
          <w:lang w:eastAsia="zh-CN"/>
          <w14:textFill>
            <w14:solidFill>
              <w14:schemeClr w14:val="tx1"/>
            </w14:solidFill>
          </w14:textFill>
        </w:rPr>
        <w:t xml:space="preserve">JSZC-320200-XWJC-G2025-0021</w:t>
      </w:r>
      <w:r/>
    </w:p>
    <w:tbl>
      <w:tblPr>
        <w:tblStyle w:val="72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60"/>
              <w:jc w:val="center"/>
              <w:spacing w:line="400" w:lineRule="exact"/>
              <w:rPr>
                <w:rFonts w:hint="eastAsia"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r>
            <w:r/>
          </w:p>
        </w:tc>
        <w:tc>
          <w:tcPr>
            <w:tcW w:w="3188" w:type="dxa"/>
            <w:vAlign w:val="center"/>
            <w:textDirection w:val="lrTb"/>
            <w:noWrap w:val="false"/>
          </w:tcPr>
          <w:p>
            <w:pPr>
              <w:pStyle w:val="1060"/>
              <w:rPr>
                <w:rFonts w:hint="eastAsia" w:hAnsi="宋体"/>
                <w:b/>
                <w:color w:val="000000" w:themeColor="text1"/>
                <w:szCs w:val="24"/>
                <w14:textFill>
                  <w14:solidFill>
                    <w14:schemeClr w14:val="tx1"/>
                  </w14:solidFill>
                </w14:textFill>
              </w:rPr>
            </w:pPr>
            <w:r>
              <w:rPr>
                <w:rFonts w:hint="eastAsia" w:hAnsi="宋体"/>
                <w:b/>
                <w:color w:val="000000" w:themeColor="text1"/>
                <w:szCs w:val="24"/>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投标总报价（大写）</w:t>
            </w:r>
            <w:r>
              <w:rPr>
                <w:rFonts w:hint="eastAsia" w:ascii="宋体" w:hAnsi="宋体"/>
                <w:bCs/>
                <w:color w:val="000000" w:themeColor="text1"/>
                <w:sz w:val="24"/>
                <w:szCs w:val="24"/>
                <w14:textFill>
                  <w14:solidFill>
                    <w14:schemeClr w14:val="tx1"/>
                  </w14:solidFill>
                </w14:textFill>
              </w:rPr>
              <w:t xml:space="preserve">：　　　</w:t>
            </w:r>
            <w:r/>
          </w:p>
        </w:tc>
      </w:tr>
    </w:tbl>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r>
      <w:r/>
    </w:p>
    <w:p>
      <w:pPr>
        <w:spacing w:line="400" w:lineRule="exact"/>
        <w:rPr>
          <w:rFonts w:hint="eastAsia" w:ascii="黑体" w:hAnsi="Times New Roman" w:eastAsia="黑体" w:cs="Times New Roman"/>
          <w:bCs/>
          <w:color w:val="000000" w:themeColor="text1"/>
          <w:sz w:val="24"/>
          <w:szCs w:val="24"/>
          <w14:textFill>
            <w14:solidFill>
              <w14:schemeClr w14:val="tx1"/>
            </w14:solidFill>
          </w14:textFill>
        </w:rPr>
      </w:pPr>
      <w:r>
        <w:rPr>
          <w:rFonts w:hint="eastAsia" w:ascii="黑体" w:hAnsi="Times New Roman" w:eastAsia="黑体" w:cs="Times New Roman"/>
          <w:bCs/>
          <w:color w:val="000000" w:themeColor="text1"/>
          <w:sz w:val="24"/>
          <w:szCs w:val="24"/>
          <w14:textFill>
            <w14:solidFill>
              <w14:schemeClr w14:val="tx1"/>
            </w14:solidFill>
          </w14:textFill>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eastAsia="黑体"/>
          <w:b/>
          <w:color w:val="000000" w:themeColor="text1"/>
          <w:sz w:val="30"/>
          <w:szCs w:val="30"/>
          <w:lang w:val="en-US" w:eastAsia="zh-CN"/>
          <w14:textFill>
            <w14:solidFill>
              <w14:schemeClr w14:val="tx1"/>
            </w14:solidFill>
          </w14:textFill>
        </w:rPr>
        <w:t xml:space="preserve">十</w:t>
      </w:r>
      <w:r>
        <w:rPr>
          <w:rFonts w:hint="eastAsia"/>
          <w:b/>
          <w:color w:val="000000" w:themeColor="text1"/>
          <w:sz w:val="30"/>
          <w:szCs w:val="30"/>
          <w14:textFill>
            <w14:solidFill>
              <w14:schemeClr w14:val="tx1"/>
            </w14:solidFill>
          </w14:textFill>
        </w:rPr>
        <w:t xml:space="preserve">、细目报价表（给定格式）：</w:t>
      </w:r>
      <w:bookmarkEnd w:id="211"/>
      <w:r/>
      <w:bookmarkEnd w:id="212"/>
      <w:r/>
      <w:bookmarkEnd w:id="213"/>
      <w:r/>
      <w:r/>
    </w:p>
    <w:p>
      <w:pPr>
        <w:spacing w:line="36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bookmarkStart w:id="215" w:name="_Toc120614284"/>
      <w:r>
        <w:rPr>
          <w:rFonts w:hint="eastAsia" w:ascii="黑体" w:eastAsia="黑体"/>
          <w:bCs/>
          <w:color w:val="000000" w:themeColor="text1"/>
          <w:sz w:val="28"/>
          <w:szCs w:val="28"/>
          <w14:textFill>
            <w14:solidFill>
              <w14:schemeClr w14:val="tx1"/>
            </w14:solidFill>
          </w14:textFill>
        </w:rPr>
        <w:t xml:space="preserve">细目报价表</w:t>
      </w:r>
      <w:r/>
    </w:p>
    <w:p>
      <w:pPr>
        <w:spacing w:line="400" w:lineRule="exact"/>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JSZC-320200-XWJC-G2025-0021</w:t>
      </w:r>
      <w:r/>
    </w:p>
    <w:tbl>
      <w:tblPr>
        <w:tblStyle w:val="72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14:textFill>
            <w14:solidFill>
              <w14:schemeClr w14:val="tx1"/>
            </w14:solidFill>
          </w14:textFill>
        </w:rPr>
        <w:outlineLvl w:val="0"/>
      </w:pPr>
      <w:r>
        <w:rPr>
          <w:rFonts w:ascii="宋体" w:hAnsi="宋体"/>
          <w:bCs/>
          <w:color w:val="000000" w:themeColor="text1"/>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十</w:t>
      </w:r>
      <w:r>
        <w:rPr>
          <w:rFonts w:hint="eastAsia"/>
          <w:b/>
          <w:color w:val="000000" w:themeColor="text1"/>
          <w:sz w:val="30"/>
          <w:szCs w:val="30"/>
          <w:lang w:val="en-US" w:eastAsia="zh-CN"/>
          <w14:textFill>
            <w14:solidFill>
              <w14:schemeClr w14:val="tx1"/>
            </w14:solidFill>
          </w14:textFill>
        </w:rPr>
        <w:t xml:space="preserve">一</w:t>
      </w:r>
      <w:r>
        <w:rPr>
          <w:b/>
          <w:color w:val="000000" w:themeColor="text1"/>
          <w:sz w:val="30"/>
          <w:szCs w:val="30"/>
          <w14:textFill>
            <w14:solidFill>
              <w14:schemeClr w14:val="tx1"/>
            </w14:solidFill>
          </w14:textFill>
        </w:rPr>
        <w:t xml:space="preserve">、</w:t>
      </w:r>
      <w:r>
        <w:rPr>
          <w:rFonts w:hint="eastAsia"/>
          <w:b/>
          <w:color w:val="000000" w:themeColor="text1"/>
          <w:sz w:val="30"/>
          <w:szCs w:val="30"/>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JSZC-320200-XWJC-G2025-0021</w:t>
      </w:r>
      <w:r/>
    </w:p>
    <w:tbl>
      <w:tblPr>
        <w:tblStyle w:val="72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hint="eastAsia"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lang w:val="en-US" w:eastAsia="zh-CN"/>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lang w:val="en-US" w:eastAsia="zh-CN"/>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（3）如有技术偏离项，请于本表中列明偏离内容，如需要可自行延长，其余无偏离内容不须赘述。</w:t>
      </w:r>
      <w:bookmarkEnd w:id="215"/>
      <w:r/>
      <w:bookmarkStart w:id="216" w:name="_Hlt26609389"/>
      <w:r/>
      <w:bookmarkEnd w:id="216"/>
      <w:r/>
      <w:bookmarkStart w:id="217" w:name="_Hlt26671374"/>
      <w:r/>
      <w:bookmarkEnd w:id="217"/>
      <w:r/>
      <w:bookmarkStart w:id="218" w:name="_格式2__法定代表人授权书"/>
      <w:r/>
      <w:bookmarkEnd w:id="218"/>
      <w:r/>
      <w:bookmarkStart w:id="219" w:name="_Hlt26955066"/>
      <w:r/>
      <w:bookmarkEnd w:id="219"/>
      <w:r/>
      <w:r/>
    </w:p>
    <w:p>
      <w:pPr>
        <w:ind w:firstLine="96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（4）投标人应当根据“采购需求”的内容在上表中逐条填写。</w:t>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十</w:t>
      </w:r>
      <w:r>
        <w:rPr>
          <w:rFonts w:hint="eastAsia"/>
          <w:b/>
          <w:color w:val="000000" w:themeColor="text1"/>
          <w:sz w:val="30"/>
          <w:szCs w:val="30"/>
          <w:lang w:val="en-US" w:eastAsia="zh-CN"/>
          <w14:textFill>
            <w14:solidFill>
              <w14:schemeClr w14:val="tx1"/>
            </w14:solidFill>
          </w14:textFill>
        </w:rPr>
        <w:t xml:space="preserve">二</w:t>
      </w:r>
      <w:r>
        <w:rPr>
          <w:rFonts w:hint="eastAsia"/>
          <w:b/>
          <w:color w:val="000000" w:themeColor="text1"/>
          <w:sz w:val="30"/>
          <w:szCs w:val="30"/>
          <w:lang w:eastAsia="zh-CN"/>
          <w14:textFill>
            <w14:solidFill>
              <w14:schemeClr w14:val="tx1"/>
            </w14:solidFill>
          </w14:textFill>
        </w:rPr>
        <w:t xml:space="preserve">、</w:t>
      </w:r>
      <w:r>
        <w:rPr>
          <w:rFonts w:hint="eastAsia"/>
          <w:b/>
          <w:color w:val="000000" w:themeColor="text1"/>
          <w:sz w:val="30"/>
          <w:szCs w:val="30"/>
          <w14:textFill>
            <w14:solidFill>
              <w14:schemeClr w14:val="tx1"/>
            </w14:solidFill>
          </w14:textFill>
        </w:rPr>
        <w:t xml:space="preserve">项目人员配置清单（</w:t>
      </w:r>
      <w:r>
        <w:rPr>
          <w:rFonts w:hint="eastAsia"/>
          <w:b/>
          <w:color w:val="000000" w:themeColor="text1"/>
          <w:sz w:val="30"/>
          <w:szCs w:val="30"/>
          <w:lang w:val="en-US" w:eastAsia="zh-CN"/>
          <w14:textFill>
            <w14:solidFill>
              <w14:schemeClr w14:val="tx1"/>
            </w14:solidFill>
          </w14:textFill>
        </w:rPr>
        <w:t xml:space="preserve">给定</w:t>
      </w:r>
      <w:r>
        <w:rPr>
          <w:rFonts w:hint="eastAsia"/>
          <w:b/>
          <w:color w:val="000000" w:themeColor="text1"/>
          <w:sz w:val="30"/>
          <w:szCs w:val="30"/>
          <w14:textFill>
            <w14:solidFill>
              <w14:schemeClr w14:val="tx1"/>
            </w14:solidFill>
          </w14:textFill>
        </w:rPr>
        <w:t xml:space="preserve">格式）</w:t>
      </w:r>
      <w:r/>
    </w:p>
    <w:p>
      <w:pPr>
        <w:jc w:val="center"/>
        <w:spacing w:line="40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JSZC-320200-XWJC-G2025-0021</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bl>
    <w:p>
      <w:pPr>
        <w:rPr>
          <w:b/>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b/>
          <w:color w:val="000000" w:themeColor="text1"/>
          <w:sz w:val="30"/>
          <w:szCs w:val="30"/>
          <w14:textFill>
            <w14:solidFill>
              <w14:schemeClr w14:val="tx1"/>
            </w14:solidFill>
          </w14:textFill>
        </w:rPr>
        <w:outlineLvl w:val="0"/>
      </w:pPr>
      <w:r>
        <w:rPr>
          <w:rFonts w:hint="eastAsia"/>
          <w:b/>
          <w:color w:val="000000" w:themeColor="text1"/>
          <w:sz w:val="30"/>
          <w:szCs w:val="30"/>
          <w14:textFill>
            <w14:solidFill>
              <w14:schemeClr w14:val="tx1"/>
            </w14:solidFill>
          </w14:textFill>
        </w:rPr>
        <w:t xml:space="preserve">十</w:t>
      </w:r>
      <w:r>
        <w:rPr>
          <w:rFonts w:hint="eastAsia"/>
          <w:b/>
          <w:color w:val="000000" w:themeColor="text1"/>
          <w:sz w:val="30"/>
          <w:szCs w:val="30"/>
          <w:lang w:val="en-US" w:eastAsia="zh-CN"/>
          <w14:textFill>
            <w14:solidFill>
              <w14:schemeClr w14:val="tx1"/>
            </w14:solidFill>
          </w14:textFill>
        </w:rPr>
        <w:t xml:space="preserve">三</w:t>
      </w:r>
      <w:r>
        <w:rPr>
          <w:rFonts w:hint="eastAsia"/>
          <w:b/>
          <w:color w:val="000000" w:themeColor="text1"/>
          <w:sz w:val="30"/>
          <w:szCs w:val="30"/>
          <w:lang w:eastAsia="zh-CN"/>
          <w14:textFill>
            <w14:solidFill>
              <w14:schemeClr w14:val="tx1"/>
            </w14:solidFill>
          </w14:textFill>
        </w:rPr>
        <w:t xml:space="preserve">、</w:t>
      </w:r>
      <w:r>
        <w:rPr>
          <w:rFonts w:hint="eastAsia"/>
          <w:b/>
          <w:color w:val="000000" w:themeColor="text1"/>
          <w:sz w:val="30"/>
          <w:szCs w:val="30"/>
          <w14:textFill>
            <w14:solidFill>
              <w14:schemeClr w14:val="tx1"/>
            </w14:solidFill>
          </w14:textFill>
        </w:rPr>
        <w:t xml:space="preserve">《采购需求》中如有要求须提供的证明文件</w:t>
      </w:r>
      <w:r/>
    </w:p>
    <w:p>
      <w:pPr>
        <w:spacing w:line="360" w:lineRule="auto"/>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color w:val="000000"/>
          <w:sz w:val="30"/>
          <w:szCs w:val="30"/>
        </w:rPr>
      </w:pPr>
      <w:r>
        <w:rPr>
          <w:b/>
          <w:color w:val="000000"/>
          <w:sz w:val="30"/>
          <w:szCs w:val="30"/>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2.制造商出具的授权函（给定格式）：</w:t>
      </w:r>
      <w:r/>
    </w:p>
    <w:p>
      <w:pPr>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jc w:val="center"/>
        <w:spacing w:line="360" w:lineRule="auto"/>
        <w:rPr>
          <w:rFonts w:hint="eastAsia" w:ascii="黑体" w:hAnsi="黑体" w:eastAsia="黑体"/>
          <w:color w:val="000000" w:themeColor="text1"/>
          <w:sz w:val="28"/>
          <w:szCs w:val="28"/>
          <w14:textFill>
            <w14:solidFill>
              <w14:schemeClr w14:val="tx1"/>
            </w14:solidFill>
          </w14:textFill>
        </w:rPr>
        <w:outlineLvl w:val="0"/>
      </w:pPr>
      <w:r>
        <w:rPr>
          <w:rFonts w:hint="eastAsia" w:ascii="黑体" w:hAnsi="黑体" w:eastAsia="黑体" w:cs="黑体"/>
          <w:color w:val="000000" w:themeColor="text1"/>
          <w:sz w:val="28"/>
          <w:szCs w:val="28"/>
          <w14:textFill>
            <w14:solidFill>
              <w14:schemeClr w14:val="tx1"/>
            </w14:solidFill>
          </w14:textFill>
        </w:rPr>
        <w:t xml:space="preserve">制造商出具的授权函</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致：无锡市卫生健康综合服务中心</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我们（</w:t>
      </w:r>
      <w:r>
        <w:rPr>
          <w:rFonts w:hint="eastAsia" w:ascii="宋体" w:cs="宋体"/>
          <w:color w:val="000000" w:themeColor="text1"/>
          <w:sz w:val="24"/>
          <w:szCs w:val="24"/>
          <w:u w:val="single"/>
          <w14:textFill>
            <w14:solidFill>
              <w14:schemeClr w14:val="tx1"/>
            </w14:solidFill>
          </w14:textFill>
        </w:rPr>
        <w:t xml:space="preserve">制造商名称</w:t>
      </w:r>
      <w:r>
        <w:rPr>
          <w:rFonts w:hint="eastAsia" w:ascii="宋体" w:cs="宋体"/>
          <w:color w:val="000000" w:themeColor="text1"/>
          <w:sz w:val="24"/>
          <w:szCs w:val="24"/>
          <w14:textFill>
            <w14:solidFill>
              <w14:schemeClr w14:val="tx1"/>
            </w14:solidFill>
          </w14:textFill>
        </w:rPr>
        <w:t xml:space="preserve">）根据（</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u w:val="single"/>
          <w14:textFill>
            <w14:solidFill>
              <w14:schemeClr w14:val="tx1"/>
            </w14:solidFill>
          </w14:textFill>
        </w:rPr>
        <w:t xml:space="preserve">制造商地址</w:t>
      </w:r>
      <w:r>
        <w:rPr>
          <w:rFonts w:hint="eastAsia" w:ascii="宋体" w:cs="宋体"/>
          <w:color w:val="000000" w:themeColor="text1"/>
          <w:sz w:val="24"/>
          <w:szCs w:val="24"/>
          <w14:textFill>
            <w14:solidFill>
              <w14:schemeClr w14:val="tx1"/>
            </w14:solidFill>
          </w14:textFill>
        </w:rPr>
        <w:t xml:space="preserve">）。兹指派按（</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）的法律正式成立的，其主要营业地点设在（投</w:t>
      </w:r>
      <w:r>
        <w:rPr>
          <w:rFonts w:hint="eastAsia" w:ascii="宋体" w:cs="宋体"/>
          <w:color w:val="000000" w:themeColor="text1"/>
          <w:sz w:val="24"/>
          <w:szCs w:val="24"/>
          <w:u w:val="single"/>
          <w14:textFill>
            <w14:solidFill>
              <w14:schemeClr w14:val="tx1"/>
            </w14:solidFill>
          </w14:textFill>
        </w:rPr>
        <w:t xml:space="preserve">标供应商地址</w:t>
      </w:r>
      <w:r>
        <w:rPr>
          <w:rFonts w:hint="eastAsia" w:ascii="宋体" w:cs="宋体"/>
          <w:color w:val="000000" w:themeColor="text1"/>
          <w:sz w:val="24"/>
          <w:szCs w:val="24"/>
          <w14:textFill>
            <w14:solidFill>
              <w14:schemeClr w14:val="tx1"/>
            </w14:solidFill>
          </w14:textFill>
        </w:rPr>
        <w:t xml:space="preserve">）的（</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1</w:t>
      </w:r>
      <w:r>
        <w:rPr>
          <w:rFonts w:hint="eastAsia" w:ascii="宋体" w:cs="宋体"/>
          <w:color w:val="000000" w:themeColor="text1"/>
          <w:sz w:val="24"/>
          <w:szCs w:val="24"/>
          <w14:textFill>
            <w14:solidFill>
              <w14:schemeClr w14:val="tx1"/>
            </w14:solidFill>
          </w14:textFill>
        </w:rPr>
        <w:t xml:space="preserve">、代表我方在中华人民共和国办理贵方</w:t>
      </w:r>
      <w:r>
        <w:rPr>
          <w:rFonts w:hint="eastAsia" w:ascii="宋体" w:hAnsi="宋体"/>
          <w:color w:val="000000" w:themeColor="text1"/>
          <w:sz w:val="24"/>
          <w:szCs w:val="24"/>
          <w:lang w:eastAsia="zh-CN"/>
          <w14:textFill>
            <w14:solidFill>
              <w14:schemeClr w14:val="tx1"/>
            </w14:solidFill>
          </w14:textFill>
        </w:rPr>
        <w:t xml:space="preserve">无锡市妇幼保健院宫腔镜手术系统项目（</w:t>
      </w:r>
      <w:r>
        <w:rPr>
          <w:rFonts w:hint="eastAsia" w:ascii="宋体" w:hAnsi="宋体"/>
          <w:color w:val="000000" w:themeColor="text1"/>
          <w:sz w:val="24"/>
          <w:szCs w:val="24"/>
          <w:lang w:val="en-US" w:eastAsia="zh-CN"/>
          <w14:textFill>
            <w14:solidFill>
              <w14:schemeClr w14:val="tx1"/>
            </w14:solidFill>
          </w14:textFill>
        </w:rPr>
        <w:t xml:space="preserve">第二次</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（采购编号</w:t>
      </w:r>
      <w:r>
        <w:rPr>
          <w:rFonts w:hint="eastAsia" w:ascii="黑体" w:eastAsia="黑体"/>
          <w:bCs/>
          <w:color w:val="000000" w:themeColor="text1"/>
          <w:sz w:val="24"/>
          <w:szCs w:val="24"/>
          <w:lang w:eastAsia="zh-CN"/>
          <w14:textFill>
            <w14:solidFill>
              <w14:schemeClr w14:val="tx1"/>
            </w14:solidFill>
          </w14:textFill>
        </w:rPr>
        <w:t xml:space="preserve">JSZC-320200-XWJC-G2025-0021</w:t>
      </w:r>
      <w:r>
        <w:rPr>
          <w:rFonts w:hint="eastAsia" w:ascii="宋体" w:cs="宋体"/>
          <w:color w:val="000000" w:themeColor="text1"/>
          <w:sz w:val="24"/>
          <w:szCs w:val="24"/>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2</w:t>
      </w:r>
      <w:r>
        <w:rPr>
          <w:rFonts w:hint="eastAsia" w:ascii="宋体" w:cs="宋体"/>
          <w:color w:val="000000" w:themeColor="text1"/>
          <w:sz w:val="24"/>
          <w:szCs w:val="24"/>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3</w:t>
      </w:r>
      <w:r>
        <w:rPr>
          <w:rFonts w:hint="eastAsia" w:ascii="宋体" w:cs="宋体"/>
          <w:color w:val="000000" w:themeColor="text1"/>
          <w:sz w:val="24"/>
          <w:szCs w:val="24"/>
          <w14:textFill>
            <w14:solidFill>
              <w14:schemeClr w14:val="tx1"/>
            </w14:solidFill>
          </w14:textFill>
        </w:rPr>
        <w:t xml:space="preserve">、我方兹授予（</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）全权办理和履行上述我方为完成上述各点</w:t>
      </w:r>
      <w:r>
        <w:rPr>
          <w:rFonts w:hint="eastAsia" w:ascii="宋体" w:cs="宋体"/>
          <w:color w:val="000000" w:themeColor="text1"/>
          <w:sz w:val="24"/>
          <w:szCs w:val="24"/>
          <w:lang w:eastAsia="zh-CN"/>
          <w14:textFill>
            <w14:solidFill>
              <w14:schemeClr w14:val="tx1"/>
            </w14:solidFill>
          </w14:textFill>
        </w:rPr>
        <w:t xml:space="preserve">所必需的</w:t>
      </w:r>
      <w:r>
        <w:rPr>
          <w:rFonts w:hint="eastAsia" w:ascii="宋体" w:cs="宋体"/>
          <w:color w:val="000000" w:themeColor="text1"/>
          <w:sz w:val="24"/>
          <w:szCs w:val="24"/>
          <w14:textFill>
            <w14:solidFill>
              <w14:schemeClr w14:val="tx1"/>
            </w14:solidFill>
          </w14:textFill>
        </w:rPr>
        <w:t xml:space="preserve">事宜，且有替换或撤销或另行授权的权利。兹确认（</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我方于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日签署本文件，（投标供应商名称）于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日接受此件，以此为证。</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560"/>
        <w:spacing w:line="360" w:lineRule="auto"/>
        <w:rPr>
          <w:rFonts w:ascii="宋体" w:cs="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姓名、职务和部门：</w:t>
      </w:r>
      <w:r/>
    </w:p>
    <w:p>
      <w:pPr>
        <w:ind w:firstLine="756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日期：</w:t>
      </w:r>
      <w:r/>
    </w:p>
    <w:p>
      <w:pPr>
        <w:pStyle w:val="734"/>
        <w:rPr>
          <w:color w:val="000000" w:themeColor="text1"/>
          <w14:textFill>
            <w14:solidFill>
              <w14:schemeClr w14:val="tx1"/>
            </w14:solidFill>
          </w14:textFill>
        </w:rPr>
      </w:pPr>
      <w:r>
        <w:rPr>
          <w:color w:val="000000" w:themeColor="text1"/>
          <w14:textFill>
            <w14:solidFill>
              <w14:schemeClr w14:val="tx1"/>
            </w14:solidFill>
          </w14:textFill>
        </w:rPr>
      </w:r>
      <w:r/>
    </w:p>
    <w:p>
      <w:pPr>
        <w:pStyle w:val="741"/>
        <w:rPr>
          <w:color w:val="000000" w:themeColor="text1"/>
          <w14:textFill>
            <w14:solidFill>
              <w14:schemeClr w14:val="tx1"/>
            </w14:solidFill>
          </w14:textFill>
        </w:rPr>
      </w:pPr>
      <w:r>
        <w:rPr>
          <w:color w:val="000000" w:themeColor="text1"/>
          <w14:textFill>
            <w14:solidFill>
              <w14:schemeClr w14:val="tx1"/>
            </w14:solidFill>
          </w14:textFill>
        </w:rPr>
      </w:r>
      <w:r/>
    </w:p>
    <w:p>
      <w:pPr>
        <w:pStyle w:val="741"/>
        <w:rPr>
          <w:color w:val="000000" w:themeColor="text1"/>
          <w14:textFill>
            <w14:solidFill>
              <w14:schemeClr w14:val="tx1"/>
            </w14:solidFill>
          </w14:textFill>
        </w:rPr>
      </w:pPr>
      <w:r>
        <w:rPr>
          <w:color w:val="000000" w:themeColor="text1"/>
          <w14:textFill>
            <w14:solidFill>
              <w14:schemeClr w14:val="tx1"/>
            </w14:solidFill>
          </w14:textFill>
        </w:rPr>
      </w:r>
      <w:r/>
    </w:p>
    <w:p>
      <w:pPr>
        <w:pStyle w:val="741"/>
        <w:rPr>
          <w:color w:val="000000" w:themeColor="text1"/>
          <w14:textFill>
            <w14:solidFill>
              <w14:schemeClr w14:val="tx1"/>
            </w14:solidFill>
          </w14:textFill>
        </w:rPr>
      </w:pPr>
      <w:r>
        <w:rPr>
          <w:color w:val="000000" w:themeColor="text1"/>
          <w14:textFill>
            <w14:solidFill>
              <w14:schemeClr w14:val="tx1"/>
            </w14:solidFill>
          </w14:textFill>
        </w:rPr>
      </w:r>
      <w:r/>
    </w:p>
    <w:p>
      <w:pPr>
        <w:pStyle w:val="741"/>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3.质量保证及售后服务承诺书（给定格式）：</w:t>
      </w:r>
      <w:r/>
    </w:p>
    <w:p>
      <w:pPr>
        <w:spacing w:line="480" w:lineRule="auto"/>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hint="eastAsia" w:ascii="黑体" w:hAnsi="黑体" w:eastAsia="黑体"/>
          <w:bCs/>
          <w:color w:val="000000" w:themeColor="text1"/>
          <w:sz w:val="28"/>
          <w:szCs w:val="28"/>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我们</w:t>
      </w:r>
      <w:r>
        <w:rPr>
          <w:rFonts w:hint="eastAsia" w:ascii="宋体"/>
          <w:bCs/>
          <w:color w:val="000000" w:themeColor="text1"/>
          <w:sz w:val="24"/>
          <w:szCs w:val="24"/>
          <w:u w:val="single"/>
          <w14:textFill>
            <w14:solidFill>
              <w14:schemeClr w14:val="tx1"/>
            </w14:solidFill>
          </w14:textFill>
        </w:rPr>
        <w:t xml:space="preserve">（制造厂商）</w:t>
      </w:r>
      <w:r>
        <w:rPr>
          <w:rFonts w:hint="eastAsia" w:ascii="宋体"/>
          <w:bCs/>
          <w:color w:val="000000" w:themeColor="text1"/>
          <w:sz w:val="24"/>
          <w:szCs w:val="24"/>
          <w14:textFill>
            <w14:solidFill>
              <w14:schemeClr w14:val="tx1"/>
            </w14:solidFill>
          </w14:textFill>
        </w:rPr>
        <w:t xml:space="preserve">郑重承诺，保证</w:t>
      </w:r>
      <w:r>
        <w:rPr>
          <w:rFonts w:hint="eastAsia" w:ascii="宋体"/>
          <w:bCs/>
          <w:color w:val="000000" w:themeColor="text1"/>
          <w:sz w:val="24"/>
          <w:szCs w:val="24"/>
          <w:u w:val="single"/>
          <w14:textFill>
            <w14:solidFill>
              <w14:schemeClr w14:val="tx1"/>
            </w14:solidFill>
          </w14:textFill>
        </w:rPr>
        <w:t xml:space="preserve">（投标供应商）</w:t>
      </w:r>
      <w:r>
        <w:rPr>
          <w:rFonts w:hint="eastAsia" w:ascii="宋体"/>
          <w:bCs/>
          <w:color w:val="000000" w:themeColor="text1"/>
          <w:sz w:val="24"/>
          <w:szCs w:val="24"/>
          <w14:textFill>
            <w14:solidFill>
              <w14:schemeClr w14:val="tx1"/>
            </w14:solidFill>
          </w14:textFill>
        </w:rPr>
        <w:t xml:space="preserve">在本项目所投的涉及本公司的产品质量，并提供</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我方于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日签署本文件，（投标供应商）于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日接受此件，以此为证。</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制造厂商（盖章）：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投标人名称（盖章）：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日期：</w:t>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Arial" w:hAnsi="Arial" w:eastAsia="楷体_GB2312"/>
          <w:b/>
          <w:color w:val="000000" w:themeColor="text1"/>
          <w:sz w:val="30"/>
          <w:szCs w:val="30"/>
          <w14:textFill>
            <w14:solidFill>
              <w14:schemeClr w14:val="tx1"/>
            </w14:solidFill>
          </w14:textFill>
        </w:rPr>
        <w:outlineLvl w:val="0"/>
      </w:pPr>
      <w:r>
        <w:rPr>
          <w:rFonts w:hint="eastAsia" w:ascii="Arial" w:hAnsi="Arial" w:eastAsia="楷体_GB2312"/>
          <w:b/>
          <w:color w:val="000000" w:themeColor="text1"/>
          <w:sz w:val="30"/>
          <w:szCs w:val="30"/>
          <w14:textFill>
            <w14:solidFill>
              <w14:schemeClr w14:val="tx1"/>
            </w14:solidFill>
          </w14:textFill>
        </w:rPr>
        <w:t xml:space="preserve">4.能确保设备正常使用的，所需耗材及维修配件的清单及价格（格式自拟）</w:t>
      </w:r>
      <w:r/>
    </w:p>
    <w:p>
      <w:pPr>
        <w:ind w:right="-14"/>
        <w:jc w:val="left"/>
        <w:rPr>
          <w:rFonts w:hint="eastAsia" w:ascii="宋体" w:hAnsi="宋体" w:cs="仿宋"/>
          <w:b/>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 </w:t>
      </w:r>
      <w:r/>
    </w:p>
    <w:p>
      <w:pPr>
        <w:pStyle w:val="741"/>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41"/>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41"/>
        <w:rPr>
          <w:color w:val="000000" w:themeColor="text1"/>
          <w14:textFill>
            <w14:solidFill>
              <w14:schemeClr w14:val="tx1"/>
            </w14:solidFill>
          </w14:textFill>
        </w:rPr>
      </w:pPr>
      <w:r>
        <w:rPr>
          <w:rFonts w:hint="eastAsia"/>
          <w:b/>
          <w:color w:val="000000" w:themeColor="text1"/>
          <w:sz w:val="30"/>
          <w:szCs w:val="30"/>
          <w14:textFill>
            <w14:solidFill>
              <w14:schemeClr w14:val="tx1"/>
            </w14:solidFill>
          </w14:textFill>
        </w:rPr>
        <w:t xml:space="preserve">5.关于所投</w:t>
      </w:r>
      <w:r>
        <w:rPr>
          <w:rFonts w:hint="eastAsia"/>
          <w:b/>
          <w:color w:val="000000" w:themeColor="text1"/>
          <w:sz w:val="30"/>
          <w:szCs w:val="30"/>
          <w:u w:val="single"/>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ascii="黑体" w:hAnsi="黑体" w:eastAsia="黑体"/>
          <w:bCs/>
          <w:color w:val="000000" w:themeColor="text1"/>
          <w:sz w:val="28"/>
          <w:szCs w:val="28"/>
          <w14:textFill>
            <w14:solidFill>
              <w14:schemeClr w14:val="tx1"/>
            </w14:solidFill>
          </w14:textFill>
        </w:rPr>
        <w:t xml:space="preserve">关于所投</w:t>
      </w:r>
      <w:r>
        <w:rPr>
          <w:rFonts w:ascii="黑体" w:hAnsi="黑体" w:eastAsia="黑体"/>
          <w:bCs/>
          <w:color w:val="000000" w:themeColor="text1"/>
          <w:sz w:val="28"/>
          <w:szCs w:val="28"/>
          <w:u w:val="single"/>
          <w14:textFill>
            <w14:solidFill>
              <w14:schemeClr w14:val="tx1"/>
            </w14:solidFill>
          </w14:textFill>
        </w:rPr>
        <w:t xml:space="preserve"> </w:t>
      </w:r>
      <w:r>
        <w:rPr>
          <w:rFonts w:hint="eastAsia"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我方承诺确保</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设备在设备使用年限（自</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之日算起</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制造厂商</w:t>
      </w:r>
      <w:r>
        <w:rPr>
          <w:rFonts w:ascii="宋体" w:hAnsi="宋体" w:cs="宋体"/>
          <w:color w:val="000000" w:themeColor="text1"/>
          <w:sz w:val="24"/>
          <w:szCs w:val="24"/>
          <w14:textFill>
            <w14:solidFill>
              <w14:schemeClr w14:val="tx1"/>
            </w14:solidFill>
          </w14:textFill>
        </w:rPr>
        <w:t xml:space="preserve">：</w:t>
      </w:r>
      <w:r/>
    </w:p>
    <w:p>
      <w:pPr>
        <w:pStyle w:val="741"/>
        <w:keepLines w:val="0"/>
        <w:keepNext w:val="0"/>
        <w:pageBreakBefore w:val="0"/>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制造厂家法定（授权）代表人： </w:t>
      </w:r>
      <w:r>
        <w:rPr>
          <w:rFonts w:hint="eastAsia" w:ascii="宋体" w:hAnsi="宋体" w:eastAsia="宋体" w:cs="宋体"/>
          <w:color w:val="000000" w:themeColor="text1"/>
          <w:sz w:val="24"/>
          <w:szCs w:val="24"/>
          <w:lang w:val="en-US" w:eastAsia="zh-CN" w:bidi="ar-SA"/>
          <w14:textFill>
            <w14:solidFill>
              <w14:schemeClr w14:val="tx1"/>
            </w14:solidFill>
          </w14:textFill>
        </w:rPr>
        <w:br/>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日期：</w:t>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t xml:space="preserve">26</w:t>
    </w:r>
    <w:r>
      <w:fldChar w:fldCharType="end"/>
    </w:r>
    <w:r/>
  </w:p>
  <w:p>
    <w:pPr>
      <w:pStyle w:val="7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1</w:t>
    </w:r>
    <w:r>
      <w:fldChar w:fldCharType="end"/>
    </w:r>
    <w:r/>
  </w:p>
  <w:p>
    <w:pPr>
      <w:pStyle w:val="9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tabs>
          <w:tab w:val="left" w:pos="1986"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5"/>
      <w:isLgl w:val="false"/>
      <w:suff w:val="nothing"/>
      <w:lvlText w:val=""/>
      <w:lvlJc w:val="left"/>
      <w:pPr>
        <w:ind w:left="0" w:firstLine="0"/>
      </w:pPr>
      <w:rPr>
        <w:rFonts w:hint="eastAsia"/>
      </w:rPr>
    </w:lvl>
    <w:lvl w:ilvl="6">
      <w:start w:val="1"/>
      <w:numFmt w:val="decimal"/>
      <w:pStyle w:val="956"/>
      <w:isLgl w:val="false"/>
      <w:suff w:val="nothing"/>
      <w:lvlText w:val=""/>
      <w:lvlJc w:val="left"/>
      <w:pPr>
        <w:ind w:left="0" w:firstLine="0"/>
      </w:pPr>
      <w:rPr>
        <w:rFonts w:hint="eastAsia"/>
      </w:rPr>
    </w:lvl>
    <w:lvl w:ilvl="7">
      <w:start w:val="1"/>
      <w:numFmt w:val="decimal"/>
      <w:pStyle w:val="957"/>
      <w:isLgl w:val="false"/>
      <w:suff w:val="nothing"/>
      <w:lvlText w:val=""/>
      <w:lvlJc w:val="left"/>
      <w:pPr>
        <w:ind w:left="0" w:firstLine="0"/>
      </w:pPr>
      <w:rPr>
        <w:rFonts w:hint="eastAsia"/>
      </w:rPr>
    </w:lvl>
    <w:lvl w:ilvl="8">
      <w:start w:val="1"/>
      <w:numFmt w:val="decimal"/>
      <w:pStyle w:val="958"/>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801"/>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802"/>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803"/>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804"/>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805"/>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806"/>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808"/>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809"/>
    <w:uiPriority w:val="9"/>
    <w:unhideWhenUsed/>
    <w:qFormat/>
    <w:pPr>
      <w:keepLines/>
      <w:keepNext/>
      <w:spacing w:before="320" w:after="200"/>
      <w:outlineLvl w:val="8"/>
    </w:pPr>
    <w:rPr>
      <w:rFonts w:ascii="Arial" w:hAnsi="Arial" w:eastAsia="Arial" w:cs="Arial"/>
      <w:i/>
      <w:iCs/>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index 5"/>
    <w:basedOn w:val="718"/>
    <w:next w:val="718"/>
    <w:uiPriority w:val="0"/>
    <w:qFormat/>
    <w:pPr>
      <w:ind w:left="800"/>
    </w:pPr>
    <w:rPr>
      <w:rFonts w:ascii="Times New Roman" w:hAnsi="Times New Roman" w:eastAsia="宋体" w:cs="Times New Roman"/>
      <w:szCs w:val="20"/>
    </w:rPr>
  </w:style>
  <w:style w:type="paragraph" w:styleId="733">
    <w:name w:val="Body Text"/>
    <w:basedOn w:val="718"/>
    <w:uiPriority w:val="0"/>
    <w:unhideWhenUsed/>
    <w:qFormat/>
    <w:pPr>
      <w:spacing w:after="120"/>
    </w:pPr>
    <w:rPr>
      <w:rFonts w:ascii="Calibri" w:hAnsi="Calibri"/>
      <w:szCs w:val="22"/>
    </w:rPr>
  </w:style>
  <w:style w:type="paragraph" w:styleId="734">
    <w:name w:val="Body Text Indent"/>
    <w:basedOn w:val="718"/>
    <w:uiPriority w:val="99"/>
    <w:qFormat/>
    <w:pPr>
      <w:ind w:firstLine="576"/>
    </w:pPr>
    <w:rPr>
      <w:sz w:val="20"/>
      <w:szCs w:val="20"/>
    </w:rPr>
  </w:style>
  <w:style w:type="paragraph" w:styleId="735">
    <w:name w:val="toc 5"/>
    <w:basedOn w:val="718"/>
    <w:next w:val="718"/>
    <w:uiPriority w:val="39"/>
    <w:unhideWhenUsed/>
    <w:qFormat/>
    <w:pPr>
      <w:ind w:left="1134"/>
      <w:spacing w:after="57"/>
    </w:pPr>
  </w:style>
  <w:style w:type="paragraph" w:styleId="736">
    <w:name w:val="toc 3"/>
    <w:basedOn w:val="718"/>
    <w:next w:val="718"/>
    <w:uiPriority w:val="39"/>
    <w:unhideWhenUsed/>
    <w:qFormat/>
    <w:pPr>
      <w:ind w:left="567"/>
      <w:spacing w:after="57"/>
    </w:pPr>
  </w:style>
  <w:style w:type="paragraph" w:styleId="737">
    <w:name w:val="Plain Text"/>
    <w:basedOn w:val="718"/>
    <w:uiPriority w:val="0"/>
    <w:qFormat/>
    <w:rPr>
      <w:rFonts w:ascii="宋体" w:hAnsi="Courier New" w:cs="Courier New"/>
    </w:rPr>
  </w:style>
  <w:style w:type="paragraph" w:styleId="738">
    <w:name w:val="toc 8"/>
    <w:basedOn w:val="718"/>
    <w:next w:val="718"/>
    <w:uiPriority w:val="39"/>
    <w:unhideWhenUsed/>
    <w:qFormat/>
    <w:pPr>
      <w:ind w:left="1984"/>
      <w:spacing w:after="57"/>
    </w:pPr>
  </w:style>
  <w:style w:type="paragraph" w:styleId="739">
    <w:name w:val="endnote text"/>
    <w:basedOn w:val="718"/>
    <w:link w:val="947"/>
    <w:uiPriority w:val="99"/>
    <w:semiHidden/>
    <w:unhideWhenUsed/>
    <w:qFormat/>
    <w:rPr>
      <w:sz w:val="20"/>
    </w:rPr>
  </w:style>
  <w:style w:type="paragraph" w:styleId="740">
    <w:name w:val="Footer"/>
    <w:basedOn w:val="718"/>
    <w:link w:val="820"/>
    <w:uiPriority w:val="99"/>
    <w:unhideWhenUsed/>
    <w:qFormat/>
    <w:pPr>
      <w:tabs>
        <w:tab w:val="center" w:pos="7143" w:leader="none"/>
        <w:tab w:val="right" w:pos="14287" w:leader="none"/>
      </w:tabs>
    </w:pPr>
  </w:style>
  <w:style w:type="paragraph" w:styleId="741">
    <w:name w:val="envelope return"/>
    <w:basedOn w:val="718"/>
    <w:uiPriority w:val="0"/>
    <w:qFormat/>
    <w:rPr>
      <w:rFonts w:ascii="Arial" w:hAnsi="Arial" w:eastAsia="楷体_GB2312"/>
      <w:sz w:val="26"/>
      <w:szCs w:val="20"/>
    </w:rPr>
  </w:style>
  <w:style w:type="paragraph" w:styleId="742">
    <w:name w:val="Header"/>
    <w:basedOn w:val="718"/>
    <w:link w:val="818"/>
    <w:uiPriority w:val="99"/>
    <w:unhideWhenUsed/>
    <w:qFormat/>
    <w:pPr>
      <w:tabs>
        <w:tab w:val="center" w:pos="7143" w:leader="none"/>
        <w:tab w:val="right" w:pos="14287" w:leader="none"/>
      </w:tabs>
    </w:pPr>
  </w:style>
  <w:style w:type="paragraph" w:styleId="743">
    <w:name w:val="toc 1"/>
    <w:basedOn w:val="718"/>
    <w:next w:val="718"/>
    <w:uiPriority w:val="39"/>
    <w:unhideWhenUsed/>
    <w:qFormat/>
    <w:pPr>
      <w:spacing w:after="57"/>
    </w:pPr>
  </w:style>
  <w:style w:type="paragraph" w:styleId="744">
    <w:name w:val="toc 4"/>
    <w:basedOn w:val="718"/>
    <w:next w:val="718"/>
    <w:uiPriority w:val="39"/>
    <w:unhideWhenUsed/>
    <w:qFormat/>
    <w:pPr>
      <w:ind w:left="850"/>
      <w:spacing w:after="57"/>
    </w:pPr>
  </w:style>
  <w:style w:type="paragraph" w:styleId="745">
    <w:name w:val="Subtitle"/>
    <w:basedOn w:val="718"/>
    <w:next w:val="718"/>
    <w:link w:val="813"/>
    <w:uiPriority w:val="11"/>
    <w:qFormat/>
    <w:pPr>
      <w:spacing w:before="200" w:after="200"/>
    </w:pPr>
    <w:rPr>
      <w:sz w:val="24"/>
      <w:szCs w:val="24"/>
    </w:rPr>
  </w:style>
  <w:style w:type="paragraph" w:styleId="746">
    <w:name w:val="footnote text"/>
    <w:basedOn w:val="718"/>
    <w:link w:val="946"/>
    <w:uiPriority w:val="99"/>
    <w:semiHidden/>
    <w:unhideWhenUsed/>
    <w:qFormat/>
    <w:pPr>
      <w:spacing w:after="40"/>
    </w:pPr>
    <w:rPr>
      <w:sz w:val="18"/>
    </w:rPr>
  </w:style>
  <w:style w:type="paragraph" w:styleId="747">
    <w:name w:val="toc 6"/>
    <w:basedOn w:val="718"/>
    <w:next w:val="718"/>
    <w:uiPriority w:val="39"/>
    <w:unhideWhenUsed/>
    <w:qFormat/>
    <w:pPr>
      <w:ind w:left="1417"/>
      <w:spacing w:after="57"/>
    </w:pPr>
  </w:style>
  <w:style w:type="paragraph" w:styleId="748">
    <w:name w:val="table of figures"/>
    <w:basedOn w:val="718"/>
    <w:next w:val="718"/>
    <w:uiPriority w:val="99"/>
    <w:unhideWhenUsed/>
    <w:qFormat/>
  </w:style>
  <w:style w:type="paragraph" w:styleId="749">
    <w:name w:val="toc 2"/>
    <w:basedOn w:val="718"/>
    <w:next w:val="718"/>
    <w:uiPriority w:val="39"/>
    <w:unhideWhenUsed/>
    <w:qFormat/>
    <w:pPr>
      <w:ind w:left="283"/>
      <w:spacing w:after="57"/>
    </w:pPr>
  </w:style>
  <w:style w:type="paragraph" w:styleId="750">
    <w:name w:val="toc 9"/>
    <w:basedOn w:val="718"/>
    <w:next w:val="718"/>
    <w:uiPriority w:val="39"/>
    <w:unhideWhenUsed/>
    <w:qFormat/>
    <w:pPr>
      <w:ind w:left="2268"/>
      <w:spacing w:after="57"/>
    </w:pPr>
  </w:style>
  <w:style w:type="paragraph" w:styleId="751">
    <w:name w:val="Normal (Web)"/>
    <w:basedOn w:val="718"/>
    <w:uiPriority w:val="99"/>
    <w:qFormat/>
    <w:pPr>
      <w:jc w:val="left"/>
      <w:spacing w:before="100" w:beforeAutospacing="1" w:after="100" w:afterAutospacing="1"/>
      <w:widowControl/>
    </w:pPr>
    <w:rPr>
      <w:rFonts w:ascii="宋体" w:hAnsi="宋体" w:cs="宋体"/>
      <w:sz w:val="24"/>
      <w:szCs w:val="24"/>
    </w:rPr>
  </w:style>
  <w:style w:type="paragraph" w:styleId="752">
    <w:name w:val="Title"/>
    <w:basedOn w:val="718"/>
    <w:next w:val="718"/>
    <w:link w:val="812"/>
    <w:uiPriority w:val="10"/>
    <w:qFormat/>
    <w:pPr>
      <w:contextualSpacing/>
      <w:spacing w:before="300" w:after="200"/>
    </w:pPr>
    <w:rPr>
      <w:sz w:val="48"/>
      <w:szCs w:val="48"/>
    </w:rPr>
  </w:style>
  <w:style w:type="paragraph" w:styleId="753">
    <w:name w:val="Body Text First Indent"/>
    <w:basedOn w:val="733"/>
    <w:uiPriority w:val="0"/>
    <w:qFormat/>
    <w:pPr>
      <w:ind w:firstLine="420"/>
      <w:spacing w:line="360" w:lineRule="auto"/>
    </w:pPr>
    <w:rPr>
      <w:rFonts w:ascii="Times New Roman" w:hAnsi="Times New Roman"/>
      <w:szCs w:val="21"/>
    </w:rPr>
  </w:style>
  <w:style w:type="table" w:styleId="75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endnote reference"/>
    <w:uiPriority w:val="99"/>
    <w:semiHidden/>
    <w:unhideWhenUsed/>
    <w:qFormat/>
    <w:rPr>
      <w:vertAlign w:val="superscript"/>
    </w:rPr>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footnote reference"/>
    <w:uiPriority w:val="99"/>
    <w:unhideWhenUsed/>
    <w:qFormat/>
    <w:rPr>
      <w:vertAlign w:val="superscript"/>
    </w:rPr>
  </w:style>
  <w:style w:type="table" w:styleId="758"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6"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7" w:customStyle="1">
    <w:name w:val="TOC Heading"/>
    <w:uiPriority w:val="39"/>
    <w:unhideWhenUsed/>
    <w:qFormat/>
    <w:rPr>
      <w:rFonts w:hint="default" w:ascii="Times New Roman" w:hAnsi="Times New Roman" w:eastAsia="宋体" w:cs="Times New Roman"/>
    </w:rPr>
  </w:style>
  <w:style w:type="paragraph" w:styleId="778" w:customStyle="1">
    <w:name w:val="TOC 标题1"/>
    <w:uiPriority w:val="39"/>
    <w:unhideWhenUsed/>
    <w:qFormat/>
    <w:rPr>
      <w:rFonts w:hint="default" w:ascii="Times New Roman" w:hAnsi="Times New Roman" w:eastAsia="宋体" w:cs="Times New Roman"/>
      <w:lang w:val="en-US" w:eastAsia="zh-CN" w:bidi="ar-SA"/>
    </w:rPr>
  </w:style>
  <w:style w:type="paragraph" w:styleId="779" w:customStyle="1">
    <w:name w:val="TOC 标题113"/>
    <w:uiPriority w:val="39"/>
    <w:unhideWhenUsed/>
    <w:qFormat/>
    <w:rPr>
      <w:rFonts w:hint="default" w:ascii="Times New Roman" w:hAnsi="Times New Roman" w:eastAsia="宋体" w:cs="Times New Roman"/>
      <w:lang w:val="en-US" w:eastAsia="zh-CN" w:bidi="ar-SA"/>
    </w:rPr>
  </w:style>
  <w:style w:type="paragraph" w:styleId="780" w:customStyle="1">
    <w:name w:val="TOC 标题112"/>
    <w:uiPriority w:val="39"/>
    <w:unhideWhenUsed/>
    <w:qFormat/>
    <w:rPr>
      <w:rFonts w:hint="default" w:ascii="Times New Roman" w:hAnsi="Times New Roman" w:eastAsia="宋体" w:cs="Times New Roman"/>
      <w:lang w:val="en-US" w:eastAsia="zh-CN" w:bidi="ar-SA"/>
    </w:rPr>
  </w:style>
  <w:style w:type="character" w:styleId="781" w:customStyle="1">
    <w:name w:val="Heading 1 Char"/>
    <w:basedOn w:val="728"/>
    <w:uiPriority w:val="9"/>
    <w:qFormat/>
    <w:rPr>
      <w:rFonts w:ascii="Arial" w:hAnsi="Arial" w:eastAsia="Arial" w:cs="Arial"/>
      <w:sz w:val="40"/>
      <w:szCs w:val="40"/>
    </w:rPr>
  </w:style>
  <w:style w:type="character" w:styleId="782" w:customStyle="1">
    <w:name w:val="Heading 2 Char"/>
    <w:basedOn w:val="728"/>
    <w:uiPriority w:val="9"/>
    <w:qFormat/>
    <w:rPr>
      <w:rFonts w:ascii="Arial" w:hAnsi="Arial" w:eastAsia="Arial" w:cs="Arial"/>
      <w:sz w:val="34"/>
    </w:rPr>
  </w:style>
  <w:style w:type="character" w:styleId="783" w:customStyle="1">
    <w:name w:val="Heading 3 Char"/>
    <w:basedOn w:val="728"/>
    <w:uiPriority w:val="9"/>
    <w:qFormat/>
    <w:rPr>
      <w:rFonts w:ascii="Arial" w:hAnsi="Arial" w:eastAsia="Arial" w:cs="Arial"/>
      <w:sz w:val="30"/>
      <w:szCs w:val="30"/>
    </w:rPr>
  </w:style>
  <w:style w:type="character" w:styleId="784" w:customStyle="1">
    <w:name w:val="Heading 4 Char"/>
    <w:basedOn w:val="728"/>
    <w:uiPriority w:val="9"/>
    <w:qFormat/>
    <w:rPr>
      <w:rFonts w:ascii="Arial" w:hAnsi="Arial" w:eastAsia="Arial" w:cs="Arial"/>
      <w:b/>
      <w:bCs/>
      <w:sz w:val="26"/>
      <w:szCs w:val="26"/>
    </w:rPr>
  </w:style>
  <w:style w:type="character" w:styleId="785" w:customStyle="1">
    <w:name w:val="Heading 5 Char"/>
    <w:basedOn w:val="728"/>
    <w:uiPriority w:val="9"/>
    <w:qFormat/>
    <w:rPr>
      <w:rFonts w:ascii="Arial" w:hAnsi="Arial" w:eastAsia="Arial" w:cs="Arial"/>
      <w:b/>
      <w:bCs/>
      <w:sz w:val="24"/>
      <w:szCs w:val="24"/>
    </w:rPr>
  </w:style>
  <w:style w:type="character" w:styleId="786" w:customStyle="1">
    <w:name w:val="Heading 6 Char"/>
    <w:basedOn w:val="728"/>
    <w:uiPriority w:val="9"/>
    <w:qFormat/>
    <w:rPr>
      <w:rFonts w:ascii="Arial" w:hAnsi="Arial" w:eastAsia="Arial" w:cs="Arial"/>
      <w:b/>
      <w:bCs/>
      <w:sz w:val="22"/>
      <w:szCs w:val="22"/>
    </w:rPr>
  </w:style>
  <w:style w:type="character" w:styleId="787" w:customStyle="1">
    <w:name w:val="Heading 7 Char"/>
    <w:basedOn w:val="728"/>
    <w:uiPriority w:val="9"/>
    <w:qFormat/>
    <w:rPr>
      <w:rFonts w:ascii="Arial" w:hAnsi="Arial" w:eastAsia="Arial" w:cs="Arial"/>
      <w:b/>
      <w:bCs/>
      <w:i/>
      <w:iCs/>
      <w:sz w:val="22"/>
      <w:szCs w:val="22"/>
    </w:rPr>
  </w:style>
  <w:style w:type="character" w:styleId="788" w:customStyle="1">
    <w:name w:val="Heading 8 Char"/>
    <w:basedOn w:val="728"/>
    <w:uiPriority w:val="9"/>
    <w:qFormat/>
    <w:rPr>
      <w:rFonts w:ascii="Arial" w:hAnsi="Arial" w:eastAsia="Arial" w:cs="Arial"/>
      <w:i/>
      <w:iCs/>
      <w:sz w:val="22"/>
      <w:szCs w:val="22"/>
    </w:rPr>
  </w:style>
  <w:style w:type="character" w:styleId="789" w:customStyle="1">
    <w:name w:val="Heading 9 Char"/>
    <w:basedOn w:val="728"/>
    <w:uiPriority w:val="9"/>
    <w:qFormat/>
    <w:rPr>
      <w:rFonts w:ascii="Arial" w:hAnsi="Arial" w:eastAsia="Arial" w:cs="Arial"/>
      <w:i/>
      <w:iCs/>
      <w:sz w:val="21"/>
      <w:szCs w:val="21"/>
    </w:rPr>
  </w:style>
  <w:style w:type="character" w:styleId="790" w:customStyle="1">
    <w:name w:val="Title Char"/>
    <w:basedOn w:val="728"/>
    <w:uiPriority w:val="10"/>
    <w:qFormat/>
    <w:rPr>
      <w:sz w:val="48"/>
      <w:szCs w:val="48"/>
    </w:rPr>
  </w:style>
  <w:style w:type="character" w:styleId="791" w:customStyle="1">
    <w:name w:val="Subtitle Char"/>
    <w:basedOn w:val="728"/>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Header Char"/>
    <w:basedOn w:val="728"/>
    <w:uiPriority w:val="99"/>
    <w:qFormat/>
  </w:style>
  <w:style w:type="character" w:styleId="795" w:customStyle="1">
    <w:name w:val="Caption Char"/>
    <w:uiPriority w:val="99"/>
    <w:qFormat/>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标题111"/>
    <w:uiPriority w:val="39"/>
    <w:unhideWhenUsed/>
    <w:qFormat/>
    <w:rPr>
      <w:rFonts w:hint="default" w:ascii="Times New Roman" w:hAnsi="Times New Roman" w:eastAsia="宋体" w:cs="Times New Roman"/>
      <w:lang w:val="en-US" w:eastAsia="zh-CN" w:bidi="ar-SA"/>
    </w:rPr>
  </w:style>
  <w:style w:type="paragraph" w:styleId="799" w:customStyle="1">
    <w:name w:val="正文文本缩进1"/>
    <w:basedOn w:val="718"/>
    <w:link w:val="981"/>
    <w:uiPriority w:val="0"/>
    <w:qFormat/>
    <w:pPr>
      <w:ind w:firstLine="645"/>
    </w:pPr>
    <w:rPr>
      <w:rFonts w:ascii="楷体_GB2312" w:eastAsia="楷体_GB2312"/>
      <w:sz w:val="32"/>
      <w:szCs w:val="32"/>
      <w:lang w:eastAsia="en-US"/>
    </w:rPr>
  </w:style>
  <w:style w:type="paragraph" w:styleId="80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1" w:customStyle="1">
    <w:name w:val="标题 1 字符"/>
    <w:link w:val="719"/>
    <w:uiPriority w:val="9"/>
    <w:qFormat/>
    <w:rPr>
      <w:rFonts w:ascii="Arial" w:hAnsi="Arial" w:eastAsia="Arial" w:cs="Arial"/>
      <w:sz w:val="40"/>
      <w:szCs w:val="40"/>
    </w:rPr>
  </w:style>
  <w:style w:type="character" w:styleId="802" w:customStyle="1">
    <w:name w:val="标题 2 字符"/>
    <w:link w:val="720"/>
    <w:uiPriority w:val="9"/>
    <w:qFormat/>
    <w:rPr>
      <w:rFonts w:ascii="Arial" w:hAnsi="Arial" w:eastAsia="Arial" w:cs="Arial"/>
      <w:sz w:val="34"/>
    </w:rPr>
  </w:style>
  <w:style w:type="character" w:styleId="803" w:customStyle="1">
    <w:name w:val="标题 3 字符"/>
    <w:link w:val="721"/>
    <w:uiPriority w:val="9"/>
    <w:qFormat/>
    <w:rPr>
      <w:rFonts w:ascii="Arial" w:hAnsi="Arial" w:eastAsia="Arial" w:cs="Arial"/>
      <w:sz w:val="30"/>
      <w:szCs w:val="30"/>
    </w:rPr>
  </w:style>
  <w:style w:type="character" w:styleId="804" w:customStyle="1">
    <w:name w:val="标题 4 字符"/>
    <w:link w:val="722"/>
    <w:uiPriority w:val="9"/>
    <w:qFormat/>
    <w:rPr>
      <w:rFonts w:ascii="Arial" w:hAnsi="Arial" w:eastAsia="Arial" w:cs="Arial"/>
      <w:b/>
      <w:bCs/>
      <w:sz w:val="26"/>
      <w:szCs w:val="26"/>
    </w:rPr>
  </w:style>
  <w:style w:type="character" w:styleId="805" w:customStyle="1">
    <w:name w:val="标题 5 字符"/>
    <w:link w:val="723"/>
    <w:uiPriority w:val="9"/>
    <w:qFormat/>
    <w:rPr>
      <w:rFonts w:ascii="Arial" w:hAnsi="Arial" w:eastAsia="Arial" w:cs="Arial"/>
      <w:b/>
      <w:bCs/>
      <w:sz w:val="24"/>
      <w:szCs w:val="24"/>
    </w:rPr>
  </w:style>
  <w:style w:type="character" w:styleId="806" w:customStyle="1">
    <w:name w:val="标题 6 字符"/>
    <w:link w:val="724"/>
    <w:uiPriority w:val="9"/>
    <w:qFormat/>
    <w:rPr>
      <w:rFonts w:ascii="Arial" w:hAnsi="Arial" w:eastAsia="Arial" w:cs="Arial"/>
      <w:b/>
      <w:bCs/>
      <w:sz w:val="22"/>
      <w:szCs w:val="22"/>
    </w:rPr>
  </w:style>
  <w:style w:type="character" w:styleId="807" w:customStyle="1">
    <w:name w:val="标题 7 字符"/>
    <w:link w:val="725"/>
    <w:uiPriority w:val="9"/>
    <w:qFormat/>
    <w:rPr>
      <w:rFonts w:ascii="Arial" w:hAnsi="Arial" w:eastAsia="Arial" w:cs="Arial"/>
      <w:b/>
      <w:bCs/>
      <w:i/>
      <w:iCs/>
      <w:sz w:val="22"/>
      <w:szCs w:val="22"/>
    </w:rPr>
  </w:style>
  <w:style w:type="character" w:styleId="808" w:customStyle="1">
    <w:name w:val="标题 8 字符"/>
    <w:link w:val="726"/>
    <w:uiPriority w:val="9"/>
    <w:qFormat/>
    <w:rPr>
      <w:rFonts w:ascii="Arial" w:hAnsi="Arial" w:eastAsia="Arial" w:cs="Arial"/>
      <w:i/>
      <w:iCs/>
      <w:sz w:val="22"/>
      <w:szCs w:val="22"/>
    </w:rPr>
  </w:style>
  <w:style w:type="character" w:styleId="809" w:customStyle="1">
    <w:name w:val="标题 9 字符"/>
    <w:link w:val="727"/>
    <w:uiPriority w:val="9"/>
    <w:qFormat/>
    <w:rPr>
      <w:rFonts w:ascii="Arial" w:hAnsi="Arial" w:eastAsia="Arial" w:cs="Arial"/>
      <w:i/>
      <w:iCs/>
      <w:sz w:val="21"/>
      <w:szCs w:val="21"/>
    </w:rPr>
  </w:style>
  <w:style w:type="paragraph" w:styleId="810">
    <w:name w:val="List Paragraph"/>
    <w:basedOn w:val="718"/>
    <w:next w:val="732"/>
    <w:uiPriority w:val="34"/>
    <w:qFormat/>
    <w:pPr>
      <w:contextualSpacing/>
      <w:ind w:left="720"/>
    </w:pPr>
  </w:style>
  <w:style w:type="paragraph" w:styleId="811">
    <w:name w:val="No Spacing"/>
    <w:uiPriority w:val="1"/>
    <w:qFormat/>
    <w:rPr>
      <w:rFonts w:hint="default" w:ascii="Calibri" w:hAnsi="Calibri" w:eastAsia="宋体" w:cs="Times New Roman"/>
      <w:lang w:val="en-US" w:eastAsia="zh-CN" w:bidi="ar-SA"/>
    </w:rPr>
  </w:style>
  <w:style w:type="character" w:styleId="812" w:customStyle="1">
    <w:name w:val="标题 字符"/>
    <w:link w:val="752"/>
    <w:uiPriority w:val="10"/>
    <w:qFormat/>
    <w:rPr>
      <w:sz w:val="48"/>
      <w:szCs w:val="48"/>
    </w:rPr>
  </w:style>
  <w:style w:type="character" w:styleId="813" w:customStyle="1">
    <w:name w:val="副标题 字符"/>
    <w:link w:val="745"/>
    <w:uiPriority w:val="11"/>
    <w:qFormat/>
    <w:rPr>
      <w:sz w:val="24"/>
      <w:szCs w:val="24"/>
    </w:rPr>
  </w:style>
  <w:style w:type="paragraph" w:styleId="814">
    <w:name w:val="Quote"/>
    <w:basedOn w:val="718"/>
    <w:next w:val="718"/>
    <w:link w:val="815"/>
    <w:uiPriority w:val="29"/>
    <w:qFormat/>
    <w:pPr>
      <w:ind w:left="720" w:right="720"/>
    </w:pPr>
    <w:rPr>
      <w:i/>
    </w:rPr>
  </w:style>
  <w:style w:type="character" w:styleId="815" w:customStyle="1">
    <w:name w:val="引用 字符"/>
    <w:link w:val="814"/>
    <w:uiPriority w:val="29"/>
    <w:qFormat/>
    <w:rPr>
      <w:i/>
    </w:rPr>
  </w:style>
  <w:style w:type="paragraph" w:styleId="816">
    <w:name w:val="Intense Quote"/>
    <w:basedOn w:val="718"/>
    <w:next w:val="718"/>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character" w:styleId="818" w:customStyle="1">
    <w:name w:val="页眉 字符"/>
    <w:link w:val="742"/>
    <w:uiPriority w:val="99"/>
    <w:qFormat/>
  </w:style>
  <w:style w:type="character" w:styleId="819" w:customStyle="1">
    <w:name w:val="Footer Char"/>
    <w:uiPriority w:val="99"/>
    <w:qFormat/>
  </w:style>
  <w:style w:type="character" w:styleId="820" w:customStyle="1">
    <w:name w:val="页脚 字符"/>
    <w:link w:val="740"/>
    <w:uiPriority w:val="99"/>
    <w:qFormat/>
  </w:style>
  <w:style w:type="table" w:styleId="82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6" w:customStyle="1">
    <w:name w:val="脚注文本 字符"/>
    <w:link w:val="746"/>
    <w:uiPriority w:val="99"/>
    <w:qFormat/>
    <w:rPr>
      <w:sz w:val="18"/>
    </w:rPr>
  </w:style>
  <w:style w:type="character" w:styleId="947" w:customStyle="1">
    <w:name w:val="尾注文本 字符"/>
    <w:link w:val="739"/>
    <w:uiPriority w:val="99"/>
    <w:qFormat/>
    <w:rPr>
      <w:sz w:val="20"/>
    </w:rPr>
  </w:style>
  <w:style w:type="paragraph" w:styleId="948" w:customStyle="1">
    <w:name w:val="TOC 标题11"/>
    <w:uiPriority w:val="39"/>
    <w:unhideWhenUsed/>
    <w:qFormat/>
    <w:rPr>
      <w:rFonts w:hint="default" w:ascii="Calibri" w:hAnsi="Calibri" w:eastAsia="宋体" w:cs="Times New Roman"/>
      <w:lang w:val="en-US" w:eastAsia="zh-CN" w:bidi="ar-SA"/>
    </w:rPr>
  </w:style>
  <w:style w:type="paragraph" w:styleId="949" w:customStyle="1">
    <w:name w:val="标题 11"/>
    <w:basedOn w:val="718"/>
    <w:next w:val="718"/>
    <w:link w:val="961"/>
    <w:uiPriority w:val="0"/>
    <w:qFormat/>
    <w:pPr>
      <w:jc w:val="center"/>
      <w:keepNext/>
      <w:outlineLvl w:val="0"/>
    </w:pPr>
    <w:rPr>
      <w:rFonts w:ascii="楷体_GB2312" w:eastAsia="楷体_GB2312"/>
      <w:sz w:val="28"/>
      <w:szCs w:val="28"/>
      <w:lang w:eastAsia="en-US"/>
    </w:rPr>
  </w:style>
  <w:style w:type="paragraph" w:styleId="950" w:customStyle="1">
    <w:name w:val="标题 21"/>
    <w:basedOn w:val="718"/>
    <w:next w:val="951"/>
    <w:link w:val="962"/>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1" w:customStyle="1">
    <w:name w:val="正文缩进1"/>
    <w:basedOn w:val="718"/>
    <w:link w:val="963"/>
    <w:uiPriority w:val="0"/>
    <w:qFormat/>
    <w:pPr>
      <w:ind w:firstLine="420"/>
    </w:pPr>
    <w:rPr>
      <w:sz w:val="20"/>
      <w:lang w:eastAsia="en-US"/>
    </w:rPr>
  </w:style>
  <w:style w:type="paragraph" w:styleId="952" w:customStyle="1">
    <w:name w:val="标题 31"/>
    <w:basedOn w:val="718"/>
    <w:next w:val="951"/>
    <w:link w:val="964"/>
    <w:uiPriority w:val="0"/>
    <w:qFormat/>
    <w:pPr>
      <w:keepLines/>
      <w:keepNext/>
      <w:spacing w:before="260" w:after="260" w:line="416" w:lineRule="auto"/>
      <w:outlineLvl w:val="2"/>
    </w:pPr>
    <w:rPr>
      <w:b/>
      <w:bCs/>
      <w:sz w:val="32"/>
      <w:szCs w:val="32"/>
      <w:lang w:eastAsia="en-US"/>
    </w:rPr>
  </w:style>
  <w:style w:type="paragraph" w:styleId="953" w:customStyle="1">
    <w:name w:val="标题 41"/>
    <w:basedOn w:val="718"/>
    <w:next w:val="951"/>
    <w:link w:val="965"/>
    <w:uiPriority w:val="0"/>
    <w:qFormat/>
    <w:pPr>
      <w:keepLines/>
      <w:keepNext/>
      <w:spacing w:before="280" w:after="290" w:line="376" w:lineRule="auto"/>
      <w:outlineLvl w:val="3"/>
    </w:pPr>
    <w:rPr>
      <w:rFonts w:ascii="Arial" w:hAnsi="Arial" w:eastAsia="黑体"/>
      <w:b/>
      <w:bCs/>
      <w:sz w:val="28"/>
      <w:szCs w:val="28"/>
      <w:lang w:eastAsia="en-US"/>
    </w:rPr>
  </w:style>
  <w:style w:type="paragraph" w:styleId="954" w:customStyle="1">
    <w:name w:val="标题 51"/>
    <w:basedOn w:val="718"/>
    <w:next w:val="951"/>
    <w:link w:val="966"/>
    <w:uiPriority w:val="0"/>
    <w:qFormat/>
    <w:pPr>
      <w:keepNext/>
      <w:outlineLvl w:val="4"/>
    </w:pPr>
    <w:rPr>
      <w:rFonts w:ascii="宋体"/>
      <w:color w:val="000000"/>
      <w:sz w:val="28"/>
      <w:szCs w:val="28"/>
      <w:lang w:eastAsia="en-US"/>
    </w:rPr>
  </w:style>
  <w:style w:type="paragraph" w:styleId="955" w:customStyle="1">
    <w:name w:val="标题 61"/>
    <w:basedOn w:val="718"/>
    <w:next w:val="718"/>
    <w:link w:val="967"/>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6" w:customStyle="1">
    <w:name w:val="标题 71"/>
    <w:basedOn w:val="718"/>
    <w:next w:val="718"/>
    <w:link w:val="968"/>
    <w:uiPriority w:val="0"/>
    <w:qFormat/>
    <w:pPr>
      <w:numPr>
        <w:ilvl w:val="6"/>
        <w:numId w:val="1"/>
      </w:numPr>
      <w:keepLines/>
      <w:keepNext/>
      <w:spacing w:before="240" w:after="64" w:line="320" w:lineRule="auto"/>
      <w:outlineLvl w:val="6"/>
    </w:pPr>
    <w:rPr>
      <w:b/>
      <w:bCs/>
      <w:sz w:val="24"/>
      <w:szCs w:val="24"/>
      <w:lang w:eastAsia="en-US"/>
    </w:rPr>
  </w:style>
  <w:style w:type="paragraph" w:styleId="957" w:customStyle="1">
    <w:name w:val="标题 81"/>
    <w:basedOn w:val="718"/>
    <w:next w:val="718"/>
    <w:link w:val="969"/>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8" w:customStyle="1">
    <w:name w:val="标题 91"/>
    <w:basedOn w:val="718"/>
    <w:next w:val="718"/>
    <w:link w:val="970"/>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59" w:customStyle="1">
    <w:name w:val="默认段落字体1"/>
    <w:uiPriority w:val="1"/>
    <w:unhideWhenUsed/>
    <w:qFormat/>
  </w:style>
  <w:style w:type="table" w:styleId="960" w:customStyle="1">
    <w:name w:val="普通表格1"/>
    <w:uiPriority w:val="99"/>
    <w:unhideWhenUsed/>
    <w:qFormat/>
    <w:tblPr>
      <w:tblCellMar>
        <w:left w:w="0" w:type="dxa"/>
        <w:top w:w="0" w:type="dxa"/>
        <w:right w:w="0" w:type="dxa"/>
        <w:bottom w:w="0" w:type="dxa"/>
      </w:tblCellMar>
    </w:tblPr>
  </w:style>
  <w:style w:type="character" w:styleId="961" w:customStyle="1">
    <w:name w:val="标题 1 Char"/>
    <w:link w:val="949"/>
    <w:uiPriority w:val="0"/>
    <w:qFormat/>
    <w:rPr>
      <w:rFonts w:ascii="楷体_GB2312" w:hAnsi="Times New Roman" w:eastAsia="楷体_GB2312" w:cs="Times New Roman"/>
      <w:sz w:val="28"/>
      <w:szCs w:val="28"/>
    </w:rPr>
  </w:style>
  <w:style w:type="character" w:styleId="962" w:customStyle="1">
    <w:name w:val="标题 2 Char"/>
    <w:link w:val="950"/>
    <w:uiPriority w:val="0"/>
    <w:qFormat/>
    <w:rPr>
      <w:rFonts w:ascii="Arial" w:hAnsi="Arial" w:eastAsia="幼圆" w:cs="Arial"/>
      <w:b/>
      <w:bCs/>
      <w:sz w:val="44"/>
      <w:szCs w:val="44"/>
    </w:rPr>
  </w:style>
  <w:style w:type="character" w:styleId="963" w:customStyle="1">
    <w:name w:val="正文缩进 Char"/>
    <w:link w:val="951"/>
    <w:uiPriority w:val="0"/>
    <w:qFormat/>
    <w:rPr>
      <w:rFonts w:ascii="Times New Roman" w:hAnsi="Times New Roman" w:eastAsia="宋体" w:cs="Times New Roman"/>
      <w:szCs w:val="21"/>
    </w:rPr>
  </w:style>
  <w:style w:type="character" w:styleId="964" w:customStyle="1">
    <w:name w:val="标题 3 Char"/>
    <w:link w:val="952"/>
    <w:uiPriority w:val="0"/>
    <w:qFormat/>
    <w:rPr>
      <w:rFonts w:ascii="Times New Roman" w:hAnsi="Times New Roman" w:eastAsia="宋体" w:cs="Times New Roman"/>
      <w:b/>
      <w:bCs/>
      <w:sz w:val="32"/>
      <w:szCs w:val="32"/>
    </w:rPr>
  </w:style>
  <w:style w:type="character" w:styleId="965" w:customStyle="1">
    <w:name w:val="标题 4 Char"/>
    <w:link w:val="953"/>
    <w:uiPriority w:val="0"/>
    <w:qFormat/>
    <w:rPr>
      <w:rFonts w:ascii="Arial" w:hAnsi="Arial" w:eastAsia="黑体" w:cs="Arial"/>
      <w:b/>
      <w:bCs/>
      <w:sz w:val="28"/>
      <w:szCs w:val="28"/>
    </w:rPr>
  </w:style>
  <w:style w:type="character" w:styleId="966" w:customStyle="1">
    <w:name w:val="标题 5 Char"/>
    <w:link w:val="954"/>
    <w:uiPriority w:val="0"/>
    <w:qFormat/>
    <w:rPr>
      <w:rFonts w:ascii="宋体" w:hAnsi="Times New Roman" w:eastAsia="宋体" w:cs="Times New Roman"/>
      <w:color w:val="000000"/>
      <w:sz w:val="28"/>
      <w:szCs w:val="28"/>
    </w:rPr>
  </w:style>
  <w:style w:type="character" w:styleId="967" w:customStyle="1">
    <w:name w:val="标题 6 Char"/>
    <w:link w:val="955"/>
    <w:uiPriority w:val="0"/>
    <w:qFormat/>
    <w:rPr>
      <w:rFonts w:ascii="Arial" w:hAnsi="Arial" w:eastAsia="黑体" w:cs="Times New Roman"/>
      <w:b/>
      <w:bCs/>
      <w:sz w:val="24"/>
      <w:szCs w:val="24"/>
    </w:rPr>
  </w:style>
  <w:style w:type="character" w:styleId="968" w:customStyle="1">
    <w:name w:val="标题 7 Char"/>
    <w:link w:val="956"/>
    <w:uiPriority w:val="0"/>
    <w:qFormat/>
    <w:rPr>
      <w:rFonts w:ascii="Times New Roman" w:hAnsi="Times New Roman" w:eastAsia="宋体" w:cs="Times New Roman"/>
      <w:b/>
      <w:bCs/>
      <w:sz w:val="24"/>
      <w:szCs w:val="24"/>
    </w:rPr>
  </w:style>
  <w:style w:type="character" w:styleId="969" w:customStyle="1">
    <w:name w:val="标题 8 Char"/>
    <w:link w:val="957"/>
    <w:uiPriority w:val="0"/>
    <w:qFormat/>
    <w:rPr>
      <w:rFonts w:ascii="Arial" w:hAnsi="Arial" w:eastAsia="黑体" w:cs="Times New Roman"/>
      <w:sz w:val="24"/>
      <w:szCs w:val="24"/>
    </w:rPr>
  </w:style>
  <w:style w:type="character" w:styleId="970" w:customStyle="1">
    <w:name w:val="标题 9 Char"/>
    <w:link w:val="958"/>
    <w:uiPriority w:val="0"/>
    <w:qFormat/>
    <w:rPr>
      <w:rFonts w:ascii="Arial" w:hAnsi="Arial" w:eastAsia="黑体" w:cs="Times New Roman"/>
      <w:szCs w:val="21"/>
    </w:rPr>
  </w:style>
  <w:style w:type="paragraph" w:styleId="971" w:customStyle="1">
    <w:name w:val="列表 31"/>
    <w:basedOn w:val="718"/>
    <w:uiPriority w:val="0"/>
    <w:qFormat/>
    <w:pPr>
      <w:ind w:left="100" w:hanging="200"/>
    </w:pPr>
  </w:style>
  <w:style w:type="paragraph" w:styleId="972" w:customStyle="1">
    <w:name w:val="目录 71"/>
    <w:basedOn w:val="718"/>
    <w:next w:val="718"/>
    <w:uiPriority w:val="0"/>
    <w:semiHidden/>
    <w:qFormat/>
    <w:pPr>
      <w:ind w:left="1260"/>
      <w:jc w:val="left"/>
    </w:pPr>
  </w:style>
  <w:style w:type="paragraph" w:styleId="973" w:customStyle="1">
    <w:name w:val="文档结构图1"/>
    <w:basedOn w:val="718"/>
    <w:link w:val="974"/>
    <w:uiPriority w:val="0"/>
    <w:semiHidden/>
    <w:qFormat/>
    <w:pPr>
      <w:shd w:val="clear" w:color="auto" w:fill="000080"/>
    </w:pPr>
    <w:rPr>
      <w:sz w:val="20"/>
      <w:lang w:eastAsia="en-US"/>
    </w:rPr>
  </w:style>
  <w:style w:type="character" w:styleId="974" w:customStyle="1">
    <w:name w:val="文档结构图 Char"/>
    <w:link w:val="973"/>
    <w:uiPriority w:val="0"/>
    <w:semiHidden/>
    <w:qFormat/>
    <w:rPr>
      <w:rFonts w:ascii="Times New Roman" w:hAnsi="Times New Roman" w:eastAsia="宋体" w:cs="Times New Roman"/>
      <w:szCs w:val="21"/>
      <w:shd w:val="clear" w:color="auto" w:fill="000080"/>
    </w:rPr>
  </w:style>
  <w:style w:type="paragraph" w:styleId="975" w:customStyle="1">
    <w:name w:val="批注文字1"/>
    <w:basedOn w:val="718"/>
    <w:link w:val="976"/>
    <w:uiPriority w:val="0"/>
    <w:semiHidden/>
    <w:qFormat/>
    <w:pPr>
      <w:jc w:val="left"/>
    </w:pPr>
    <w:rPr>
      <w:sz w:val="20"/>
      <w:lang w:eastAsia="en-US"/>
    </w:rPr>
  </w:style>
  <w:style w:type="character" w:styleId="976" w:customStyle="1">
    <w:name w:val="批注文字 Char"/>
    <w:link w:val="975"/>
    <w:uiPriority w:val="0"/>
    <w:semiHidden/>
    <w:qFormat/>
    <w:rPr>
      <w:rFonts w:ascii="Times New Roman" w:hAnsi="Times New Roman" w:eastAsia="宋体" w:cs="Times New Roman"/>
      <w:szCs w:val="21"/>
    </w:rPr>
  </w:style>
  <w:style w:type="paragraph" w:styleId="977" w:customStyle="1">
    <w:name w:val="正文文本 31"/>
    <w:basedOn w:val="718"/>
    <w:link w:val="978"/>
    <w:uiPriority w:val="0"/>
    <w:qFormat/>
    <w:rPr>
      <w:rFonts w:ascii="仿宋_GB2312" w:hAnsi="Arial" w:eastAsia="仿宋_GB2312"/>
      <w:sz w:val="32"/>
      <w:szCs w:val="32"/>
      <w:lang w:eastAsia="en-US"/>
    </w:rPr>
  </w:style>
  <w:style w:type="character" w:styleId="978" w:customStyle="1">
    <w:name w:val="正文文本 3 Char"/>
    <w:link w:val="977"/>
    <w:uiPriority w:val="0"/>
    <w:qFormat/>
    <w:rPr>
      <w:rFonts w:ascii="仿宋_GB2312" w:hAnsi="Arial" w:eastAsia="仿宋_GB2312" w:cs="Times New Roman"/>
      <w:sz w:val="32"/>
      <w:szCs w:val="32"/>
    </w:rPr>
  </w:style>
  <w:style w:type="paragraph" w:styleId="979" w:customStyle="1">
    <w:name w:val="正文文本1"/>
    <w:basedOn w:val="718"/>
    <w:link w:val="980"/>
    <w:uiPriority w:val="0"/>
    <w:qFormat/>
    <w:rPr>
      <w:rFonts w:ascii="楷体_GB2312" w:hAnsi="Arial" w:eastAsia="楷体_GB2312"/>
      <w:sz w:val="28"/>
      <w:szCs w:val="28"/>
      <w:lang w:eastAsia="en-US"/>
    </w:rPr>
  </w:style>
  <w:style w:type="character" w:styleId="980" w:customStyle="1">
    <w:name w:val="正文文本 Char"/>
    <w:link w:val="979"/>
    <w:uiPriority w:val="0"/>
    <w:qFormat/>
    <w:rPr>
      <w:rFonts w:ascii="楷体_GB2312" w:hAnsi="Arial" w:eastAsia="楷体_GB2312" w:cs="Times New Roman"/>
      <w:sz w:val="28"/>
      <w:szCs w:val="28"/>
    </w:rPr>
  </w:style>
  <w:style w:type="character" w:styleId="981" w:customStyle="1">
    <w:name w:val="正文文本缩进 Char"/>
    <w:link w:val="799"/>
    <w:uiPriority w:val="0"/>
    <w:qFormat/>
    <w:rPr>
      <w:rFonts w:ascii="楷体_GB2312" w:hAnsi="Times New Roman" w:eastAsia="楷体_GB2312" w:cs="Times New Roman"/>
      <w:sz w:val="32"/>
      <w:szCs w:val="32"/>
    </w:rPr>
  </w:style>
  <w:style w:type="paragraph" w:styleId="982" w:customStyle="1">
    <w:name w:val="列表 21"/>
    <w:basedOn w:val="718"/>
    <w:uiPriority w:val="0"/>
    <w:qFormat/>
    <w:pPr>
      <w:ind w:left="100" w:hanging="200"/>
    </w:pPr>
  </w:style>
  <w:style w:type="paragraph" w:styleId="983" w:customStyle="1">
    <w:name w:val="目录 51"/>
    <w:basedOn w:val="718"/>
    <w:next w:val="718"/>
    <w:uiPriority w:val="0"/>
    <w:semiHidden/>
    <w:qFormat/>
    <w:pPr>
      <w:ind w:left="840"/>
      <w:jc w:val="left"/>
    </w:pPr>
  </w:style>
  <w:style w:type="paragraph" w:styleId="984" w:customStyle="1">
    <w:name w:val="目录 31"/>
    <w:basedOn w:val="718"/>
    <w:next w:val="718"/>
    <w:uiPriority w:val="0"/>
    <w:semiHidden/>
    <w:qFormat/>
    <w:pPr>
      <w:ind w:left="420"/>
      <w:jc w:val="left"/>
    </w:pPr>
    <w:rPr>
      <w:i/>
      <w:iCs/>
      <w:szCs w:val="24"/>
    </w:rPr>
  </w:style>
  <w:style w:type="paragraph" w:styleId="985" w:customStyle="1">
    <w:name w:val="纯文本1"/>
    <w:basedOn w:val="718"/>
    <w:link w:val="986"/>
    <w:uiPriority w:val="0"/>
    <w:qFormat/>
    <w:rPr>
      <w:rFonts w:ascii="宋体" w:hAnsi="Courier New"/>
      <w:sz w:val="20"/>
      <w:lang w:eastAsia="en-US"/>
    </w:rPr>
  </w:style>
  <w:style w:type="character" w:styleId="986" w:customStyle="1">
    <w:name w:val="纯文本 Char"/>
    <w:link w:val="985"/>
    <w:uiPriority w:val="0"/>
    <w:qFormat/>
    <w:rPr>
      <w:rFonts w:ascii="宋体" w:hAnsi="Courier New" w:eastAsia="宋体" w:cs="Courier New"/>
      <w:szCs w:val="21"/>
    </w:rPr>
  </w:style>
  <w:style w:type="paragraph" w:styleId="987" w:customStyle="1">
    <w:name w:val="目录 81"/>
    <w:basedOn w:val="718"/>
    <w:next w:val="718"/>
    <w:uiPriority w:val="0"/>
    <w:semiHidden/>
    <w:qFormat/>
    <w:pPr>
      <w:ind w:left="1470"/>
      <w:jc w:val="left"/>
    </w:pPr>
  </w:style>
  <w:style w:type="paragraph" w:styleId="988" w:customStyle="1">
    <w:name w:val="日期1"/>
    <w:basedOn w:val="718"/>
    <w:next w:val="718"/>
    <w:link w:val="989"/>
    <w:uiPriority w:val="0"/>
    <w:qFormat/>
    <w:rPr>
      <w:sz w:val="24"/>
      <w:szCs w:val="24"/>
      <w:lang w:eastAsia="en-US"/>
    </w:rPr>
  </w:style>
  <w:style w:type="character" w:styleId="989" w:customStyle="1">
    <w:name w:val="日期 Char"/>
    <w:link w:val="988"/>
    <w:uiPriority w:val="0"/>
    <w:qFormat/>
    <w:rPr>
      <w:rFonts w:ascii="Times New Roman" w:hAnsi="Times New Roman" w:eastAsia="宋体" w:cs="Times New Roman"/>
      <w:sz w:val="24"/>
      <w:szCs w:val="24"/>
    </w:rPr>
  </w:style>
  <w:style w:type="paragraph" w:styleId="990" w:customStyle="1">
    <w:name w:val="正文文本缩进 21"/>
    <w:basedOn w:val="718"/>
    <w:link w:val="991"/>
    <w:uiPriority w:val="0"/>
    <w:qFormat/>
    <w:pPr>
      <w:ind w:left="630" w:firstLine="645"/>
    </w:pPr>
    <w:rPr>
      <w:rFonts w:ascii="Arial" w:hAnsi="Arial" w:eastAsia="仿宋_GB2312"/>
      <w:sz w:val="32"/>
      <w:szCs w:val="32"/>
      <w:lang w:eastAsia="en-US"/>
    </w:rPr>
  </w:style>
  <w:style w:type="character" w:styleId="991" w:customStyle="1">
    <w:name w:val="正文文本缩进 2 Char"/>
    <w:link w:val="990"/>
    <w:uiPriority w:val="0"/>
    <w:qFormat/>
    <w:rPr>
      <w:rFonts w:ascii="Arial" w:hAnsi="Arial" w:eastAsia="仿宋_GB2312" w:cs="Arial"/>
      <w:sz w:val="32"/>
      <w:szCs w:val="32"/>
    </w:rPr>
  </w:style>
  <w:style w:type="paragraph" w:styleId="992" w:customStyle="1">
    <w:name w:val="批注框文本1"/>
    <w:basedOn w:val="718"/>
    <w:link w:val="993"/>
    <w:uiPriority w:val="0"/>
    <w:qFormat/>
    <w:rPr>
      <w:sz w:val="18"/>
      <w:szCs w:val="18"/>
      <w:lang w:eastAsia="en-US"/>
    </w:rPr>
  </w:style>
  <w:style w:type="character" w:styleId="993" w:customStyle="1">
    <w:name w:val="批注框文本 Char"/>
    <w:link w:val="992"/>
    <w:uiPriority w:val="0"/>
    <w:qFormat/>
    <w:rPr>
      <w:rFonts w:ascii="Times New Roman" w:hAnsi="Times New Roman" w:eastAsia="宋体" w:cs="Times New Roman"/>
      <w:sz w:val="18"/>
      <w:szCs w:val="18"/>
    </w:rPr>
  </w:style>
  <w:style w:type="paragraph" w:styleId="994" w:customStyle="1">
    <w:name w:val="页脚1"/>
    <w:basedOn w:val="718"/>
    <w:link w:val="995"/>
    <w:uiPriority w:val="0"/>
    <w:qFormat/>
    <w:pPr>
      <w:jc w:val="left"/>
      <w:tabs>
        <w:tab w:val="center" w:pos="4153" w:leader="none"/>
        <w:tab w:val="right" w:pos="8306" w:leader="none"/>
      </w:tabs>
    </w:pPr>
    <w:rPr>
      <w:sz w:val="18"/>
      <w:szCs w:val="18"/>
      <w:lang w:eastAsia="en-US"/>
    </w:rPr>
  </w:style>
  <w:style w:type="character" w:styleId="995" w:customStyle="1">
    <w:name w:val="页脚 Char"/>
    <w:link w:val="994"/>
    <w:uiPriority w:val="0"/>
    <w:qFormat/>
    <w:rPr>
      <w:rFonts w:ascii="Times New Roman" w:hAnsi="Times New Roman" w:eastAsia="宋体" w:cs="Times New Roman"/>
      <w:sz w:val="18"/>
      <w:szCs w:val="18"/>
    </w:rPr>
  </w:style>
  <w:style w:type="paragraph" w:styleId="996" w:customStyle="1">
    <w:name w:val="页眉1"/>
    <w:basedOn w:val="718"/>
    <w:link w:val="997"/>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7" w:customStyle="1">
    <w:name w:val="页眉 Char"/>
    <w:link w:val="996"/>
    <w:uiPriority w:val="0"/>
    <w:qFormat/>
    <w:rPr>
      <w:rFonts w:ascii="Times New Roman" w:hAnsi="Times New Roman" w:eastAsia="宋体" w:cs="Times New Roman"/>
      <w:sz w:val="18"/>
      <w:szCs w:val="18"/>
    </w:rPr>
  </w:style>
  <w:style w:type="paragraph" w:styleId="998" w:customStyle="1">
    <w:name w:val="目录 1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999" w:customStyle="1">
    <w:name w:val="目录 41"/>
    <w:basedOn w:val="718"/>
    <w:next w:val="718"/>
    <w:uiPriority w:val="0"/>
    <w:semiHidden/>
    <w:qFormat/>
    <w:pPr>
      <w:ind w:left="630"/>
      <w:jc w:val="left"/>
    </w:pPr>
  </w:style>
  <w:style w:type="paragraph" w:styleId="1000" w:customStyle="1">
    <w:name w:val="列表1"/>
    <w:basedOn w:val="718"/>
    <w:uiPriority w:val="0"/>
    <w:qFormat/>
    <w:pPr>
      <w:ind w:left="200" w:hanging="200"/>
    </w:pPr>
  </w:style>
  <w:style w:type="paragraph" w:styleId="1001" w:customStyle="1">
    <w:name w:val="目录 61"/>
    <w:basedOn w:val="718"/>
    <w:next w:val="718"/>
    <w:uiPriority w:val="0"/>
    <w:semiHidden/>
    <w:qFormat/>
    <w:pPr>
      <w:ind w:left="1050"/>
      <w:jc w:val="left"/>
    </w:pPr>
  </w:style>
  <w:style w:type="paragraph" w:styleId="1002" w:customStyle="1">
    <w:name w:val="正文文本缩进 31"/>
    <w:basedOn w:val="718"/>
    <w:link w:val="1003"/>
    <w:uiPriority w:val="0"/>
    <w:qFormat/>
    <w:pPr>
      <w:ind w:left="645" w:firstLine="645"/>
    </w:pPr>
    <w:rPr>
      <w:rFonts w:ascii="Arial" w:hAnsi="Arial" w:eastAsia="仿宋_GB2312"/>
      <w:color w:val="ffff00"/>
      <w:sz w:val="32"/>
      <w:szCs w:val="32"/>
      <w:lang w:eastAsia="en-US"/>
    </w:rPr>
  </w:style>
  <w:style w:type="character" w:styleId="1003" w:customStyle="1">
    <w:name w:val="正文文本缩进 3 Char"/>
    <w:link w:val="1002"/>
    <w:uiPriority w:val="0"/>
    <w:qFormat/>
    <w:rPr>
      <w:rFonts w:ascii="Arial" w:hAnsi="Arial" w:eastAsia="仿宋_GB2312" w:cs="Arial"/>
      <w:color w:val="ffff00"/>
      <w:sz w:val="32"/>
      <w:szCs w:val="32"/>
    </w:rPr>
  </w:style>
  <w:style w:type="paragraph" w:styleId="1004" w:customStyle="1">
    <w:name w:val="图表目录1"/>
    <w:basedOn w:val="718"/>
    <w:next w:val="718"/>
    <w:uiPriority w:val="0"/>
    <w:semiHidden/>
    <w:qFormat/>
    <w:pPr>
      <w:ind w:left="840" w:hanging="420"/>
    </w:pPr>
  </w:style>
  <w:style w:type="paragraph" w:styleId="1005" w:customStyle="1">
    <w:name w:val="目录 21"/>
    <w:basedOn w:val="718"/>
    <w:next w:val="718"/>
    <w:uiPriority w:val="0"/>
    <w:semiHidden/>
    <w:qFormat/>
    <w:pPr>
      <w:ind w:left="210"/>
      <w:jc w:val="left"/>
    </w:pPr>
    <w:rPr>
      <w:smallCaps/>
      <w:szCs w:val="24"/>
    </w:rPr>
  </w:style>
  <w:style w:type="paragraph" w:styleId="1006" w:customStyle="1">
    <w:name w:val="目录 91"/>
    <w:basedOn w:val="718"/>
    <w:next w:val="718"/>
    <w:uiPriority w:val="0"/>
    <w:semiHidden/>
    <w:qFormat/>
    <w:pPr>
      <w:ind w:left="1680"/>
      <w:jc w:val="left"/>
    </w:pPr>
  </w:style>
  <w:style w:type="paragraph" w:styleId="1007" w:customStyle="1">
    <w:name w:val="正文文本 21"/>
    <w:basedOn w:val="718"/>
    <w:link w:val="1008"/>
    <w:uiPriority w:val="0"/>
    <w:qFormat/>
    <w:pPr>
      <w:jc w:val="center"/>
      <w:widowControl/>
    </w:pPr>
    <w:rPr>
      <w:rFonts w:ascii="楷体_GB2312" w:eastAsia="楷体_GB2312"/>
      <w:sz w:val="28"/>
      <w:szCs w:val="28"/>
      <w:lang w:eastAsia="en-US"/>
    </w:rPr>
  </w:style>
  <w:style w:type="character" w:styleId="1008" w:customStyle="1">
    <w:name w:val="正文文本 2 Char"/>
    <w:link w:val="1007"/>
    <w:uiPriority w:val="0"/>
    <w:qFormat/>
    <w:rPr>
      <w:rFonts w:ascii="楷体_GB2312" w:hAnsi="Times New Roman" w:eastAsia="楷体_GB2312" w:cs="Times New Roman"/>
      <w:sz w:val="28"/>
      <w:szCs w:val="28"/>
    </w:rPr>
  </w:style>
  <w:style w:type="paragraph" w:styleId="1009"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1010" w:customStyle="1">
    <w:name w:val="索引 11"/>
    <w:basedOn w:val="718"/>
    <w:next w:val="718"/>
    <w:uiPriority w:val="0"/>
    <w:semiHidden/>
    <w:qFormat/>
    <w:pPr>
      <w:spacing w:line="240" w:lineRule="atLeast"/>
    </w:pPr>
    <w:rPr>
      <w:b/>
      <w:bCs/>
    </w:rPr>
  </w:style>
  <w:style w:type="paragraph" w:styleId="1011" w:customStyle="1">
    <w:name w:val="批注主题1"/>
    <w:basedOn w:val="975"/>
    <w:next w:val="975"/>
    <w:link w:val="1012"/>
    <w:uiPriority w:val="0"/>
    <w:semiHidden/>
    <w:qFormat/>
    <w:rPr>
      <w:b/>
      <w:bCs/>
    </w:rPr>
  </w:style>
  <w:style w:type="character" w:styleId="1012" w:customStyle="1">
    <w:name w:val="批注主题 Char"/>
    <w:link w:val="1011"/>
    <w:uiPriority w:val="0"/>
    <w:semiHidden/>
    <w:qFormat/>
    <w:rPr>
      <w:rFonts w:ascii="Times New Roman" w:hAnsi="Times New Roman" w:eastAsia="宋体" w:cs="Times New Roman"/>
      <w:b/>
      <w:bCs/>
      <w:szCs w:val="21"/>
    </w:rPr>
  </w:style>
  <w:style w:type="paragraph" w:styleId="1013" w:customStyle="1">
    <w:name w:val="正文首行缩进1"/>
    <w:basedOn w:val="979"/>
    <w:link w:val="1014"/>
    <w:uiPriority w:val="0"/>
    <w:qFormat/>
    <w:pPr>
      <w:ind w:firstLine="200"/>
      <w:spacing w:line="360" w:lineRule="auto"/>
    </w:pPr>
    <w:rPr>
      <w:rFonts w:ascii="仿宋_GB2312" w:eastAsia="仿宋_GB2312"/>
      <w:sz w:val="30"/>
      <w:szCs w:val="30"/>
      <w:lang w:eastAsia="en-US"/>
    </w:rPr>
  </w:style>
  <w:style w:type="character" w:styleId="1014" w:customStyle="1">
    <w:name w:val="正文首行缩进 Char"/>
    <w:link w:val="1013"/>
    <w:uiPriority w:val="0"/>
    <w:qFormat/>
    <w:rPr>
      <w:rFonts w:ascii="仿宋_GB2312" w:hAnsi="Times New Roman" w:eastAsia="仿宋_GB2312" w:cs="Times New Roman"/>
      <w:sz w:val="30"/>
      <w:szCs w:val="30"/>
    </w:rPr>
  </w:style>
  <w:style w:type="paragraph" w:styleId="1015" w:customStyle="1">
    <w:name w:val="正文首行缩进 21"/>
    <w:basedOn w:val="799"/>
    <w:link w:val="1016"/>
    <w:uiPriority w:val="0"/>
    <w:qFormat/>
    <w:pPr>
      <w:ind w:firstLine="420"/>
      <w:spacing w:line="360" w:lineRule="auto"/>
    </w:pPr>
    <w:rPr>
      <w:rFonts w:ascii="宋体" w:hAnsi="宋体" w:eastAsia="宋体"/>
      <w:szCs w:val="20"/>
    </w:rPr>
  </w:style>
  <w:style w:type="character" w:styleId="1016" w:customStyle="1">
    <w:name w:val="正文首行缩进 2 Char"/>
    <w:link w:val="1015"/>
    <w:uiPriority w:val="0"/>
    <w:qFormat/>
    <w:rPr>
      <w:rFonts w:ascii="宋体" w:hAnsi="宋体" w:eastAsia="宋体" w:cs="Times New Roman"/>
      <w:sz w:val="32"/>
      <w:szCs w:val="20"/>
    </w:rPr>
  </w:style>
  <w:style w:type="table" w:styleId="1017" w:customStyle="1">
    <w:name w:val="网格型1"/>
    <w:basedOn w:val="960"/>
    <w:uiPriority w:val="0"/>
    <w:qFormat/>
    <w:pPr>
      <w:jc w:val="both"/>
      <w:widowControl w:val="off"/>
    </w:pPr>
    <w:tblPr/>
  </w:style>
  <w:style w:type="character" w:styleId="1018" w:customStyle="1">
    <w:name w:val="要点1"/>
    <w:uiPriority w:val="0"/>
    <w:qFormat/>
    <w:rPr>
      <w:b/>
      <w:bCs/>
    </w:rPr>
  </w:style>
  <w:style w:type="character" w:styleId="1019" w:customStyle="1">
    <w:name w:val="页码1"/>
    <w:uiPriority w:val="0"/>
    <w:qFormat/>
  </w:style>
  <w:style w:type="character" w:styleId="1020" w:customStyle="1">
    <w:name w:val="已访问的超链接1"/>
    <w:uiPriority w:val="0"/>
    <w:qFormat/>
    <w:rPr>
      <w:color w:val="800080"/>
      <w:u w:val="single"/>
    </w:rPr>
  </w:style>
  <w:style w:type="character" w:styleId="1021" w:customStyle="1">
    <w:name w:val="HTML 打字机1"/>
    <w:uiPriority w:val="99"/>
    <w:qFormat/>
    <w:rPr>
      <w:rFonts w:ascii="宋体" w:hAnsi="宋体" w:eastAsia="宋体" w:cs="宋体"/>
      <w:sz w:val="24"/>
      <w:szCs w:val="24"/>
    </w:rPr>
  </w:style>
  <w:style w:type="character" w:styleId="1022" w:customStyle="1">
    <w:name w:val="超链接1"/>
    <w:uiPriority w:val="0"/>
    <w:qFormat/>
    <w:rPr>
      <w:color w:val="0000ff"/>
      <w:u w:val="single"/>
    </w:rPr>
  </w:style>
  <w:style w:type="character" w:styleId="1023" w:customStyle="1">
    <w:name w:val="批注引用1"/>
    <w:uiPriority w:val="0"/>
    <w:semiHidden/>
    <w:qFormat/>
    <w:rPr>
      <w:sz w:val="21"/>
      <w:szCs w:val="21"/>
    </w:rPr>
  </w:style>
  <w:style w:type="character" w:styleId="1024" w:customStyle="1">
    <w:name w:val="font5 Char"/>
    <w:uiPriority w:val="0"/>
    <w:qFormat/>
    <w:rPr>
      <w:rFonts w:ascii="宋体" w:hAnsi="宋体" w:eastAsia="宋体"/>
      <w:sz w:val="28"/>
      <w:szCs w:val="28"/>
      <w:lang w:val="en-US" w:eastAsia="zh-CN" w:bidi="ar-SA"/>
    </w:rPr>
  </w:style>
  <w:style w:type="character" w:styleId="1025" w:customStyle="1">
    <w:name w:val="二级目录 Char"/>
    <w:link w:val="1026"/>
    <w:uiPriority w:val="0"/>
    <w:qFormat/>
    <w:rPr>
      <w:rFonts w:ascii="Calibri" w:hAnsi="Calibri"/>
      <w:b/>
      <w:sz w:val="30"/>
      <w:szCs w:val="28"/>
    </w:rPr>
  </w:style>
  <w:style w:type="paragraph" w:styleId="1026" w:customStyle="1">
    <w:name w:val="二级目录"/>
    <w:next w:val="718"/>
    <w:link w:val="1025"/>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7" w:customStyle="1">
    <w:name w:val="列出段落 Char"/>
    <w:link w:val="1028"/>
    <w:uiPriority w:val="0"/>
    <w:qFormat/>
    <w:rPr>
      <w:rFonts w:ascii="Calibri" w:hAnsi="Calibri"/>
      <w:sz w:val="24"/>
      <w:szCs w:val="24"/>
      <w:lang w:eastAsia="en-US" w:bidi="en-US"/>
    </w:rPr>
  </w:style>
  <w:style w:type="paragraph" w:styleId="1028" w:customStyle="1">
    <w:name w:val="列出段落1"/>
    <w:basedOn w:val="718"/>
    <w:link w:val="1027"/>
    <w:uiPriority w:val="0"/>
    <w:qFormat/>
    <w:pPr>
      <w:contextualSpacing/>
      <w:ind w:left="720"/>
      <w:jc w:val="left"/>
      <w:widowControl/>
    </w:pPr>
    <w:rPr>
      <w:rFonts w:ascii="Calibri" w:hAnsi="Calibri"/>
      <w:sz w:val="24"/>
      <w:szCs w:val="24"/>
      <w:lang w:eastAsia="en-US" w:bidi="en-US"/>
    </w:rPr>
  </w:style>
  <w:style w:type="paragraph" w:styleId="1029" w:customStyle="1">
    <w:name w:val="Body Text(ch)"/>
    <w:basedOn w:val="718"/>
    <w:next w:val="979"/>
    <w:uiPriority w:val="0"/>
    <w:qFormat/>
    <w:pPr>
      <w:spacing w:after="120"/>
    </w:pPr>
    <w:rPr>
      <w:rFonts w:ascii="宋体" w:hAnsi="Arial"/>
      <w:bCs/>
      <w:iCs/>
      <w:szCs w:val="24"/>
    </w:rPr>
  </w:style>
  <w:style w:type="paragraph" w:styleId="1030"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2" w:customStyle="1">
    <w:name w:val="Char"/>
    <w:basedOn w:val="718"/>
    <w:uiPriority w:val="0"/>
    <w:qFormat/>
    <w:pPr>
      <w:ind w:firstLine="200"/>
      <w:tabs>
        <w:tab w:val="left" w:pos="360" w:leader="none"/>
      </w:tabs>
    </w:pPr>
    <w:rPr>
      <w:sz w:val="28"/>
      <w:szCs w:val="30"/>
    </w:rPr>
  </w:style>
  <w:style w:type="paragraph" w:styleId="1033" w:customStyle="1">
    <w:name w:val="Char1"/>
    <w:basedOn w:val="973"/>
    <w:uiPriority w:val="0"/>
    <w:qFormat/>
    <w:rPr>
      <w:rFonts w:ascii="Tahoma" w:hAnsi="Tahoma"/>
      <w:sz w:val="24"/>
      <w:szCs w:val="24"/>
    </w:rPr>
  </w:style>
  <w:style w:type="paragraph" w:styleId="1034"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1035" w:customStyle="1">
    <w:name w:val="table_lines"/>
    <w:basedOn w:val="718"/>
    <w:uiPriority w:val="0"/>
    <w:qFormat/>
    <w:pPr>
      <w:jc w:val="left"/>
      <w:widowControl/>
    </w:pPr>
    <w:rPr>
      <w:sz w:val="20"/>
      <w:szCs w:val="20"/>
      <w:lang w:val="de-DE" w:eastAsia="de-DE"/>
    </w:rPr>
  </w:style>
  <w:style w:type="paragraph" w:styleId="103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7"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1038" w:customStyle="1">
    <w:name w:val="Char Char Char Char"/>
    <w:basedOn w:val="973"/>
    <w:uiPriority w:val="0"/>
    <w:qFormat/>
    <w:pPr>
      <w:spacing w:line="360" w:lineRule="auto"/>
    </w:pPr>
    <w:rPr>
      <w:rFonts w:ascii="Tahoma" w:hAnsi="Tahoma"/>
      <w:sz w:val="24"/>
      <w:szCs w:val="24"/>
    </w:rPr>
  </w:style>
  <w:style w:type="paragraph" w:styleId="1039" w:customStyle="1">
    <w:name w:val="列出段落2"/>
    <w:basedOn w:val="718"/>
    <w:uiPriority w:val="99"/>
    <w:qFormat/>
    <w:pPr>
      <w:contextualSpacing/>
      <w:ind w:left="720"/>
      <w:jc w:val="left"/>
      <w:widowControl/>
    </w:pPr>
    <w:rPr>
      <w:rFonts w:ascii="Calibri" w:hAnsi="Calibri"/>
      <w:sz w:val="24"/>
      <w:szCs w:val="24"/>
      <w:lang w:eastAsia="en-US" w:bidi="en-US"/>
    </w:rPr>
  </w:style>
  <w:style w:type="paragraph" w:styleId="1040" w:customStyle="1">
    <w:name w:val="4"/>
    <w:basedOn w:val="718"/>
    <w:next w:val="1002"/>
    <w:uiPriority w:val="0"/>
    <w:qFormat/>
    <w:pPr>
      <w:ind w:firstLine="420"/>
      <w:spacing w:line="360" w:lineRule="auto"/>
    </w:pPr>
    <w:rPr>
      <w:color w:val="ff0000"/>
      <w:sz w:val="24"/>
      <w:szCs w:val="24"/>
    </w:rPr>
  </w:style>
  <w:style w:type="paragraph" w:styleId="1041"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1042" w:customStyle="1">
    <w:name w:val="Char Char Char Char Char Char Char Char Char Char"/>
    <w:basedOn w:val="718"/>
    <w:uiPriority w:val="0"/>
    <w:qFormat/>
    <w:pPr>
      <w:spacing w:line="360" w:lineRule="auto"/>
    </w:pPr>
    <w:rPr>
      <w:sz w:val="24"/>
      <w:szCs w:val="20"/>
    </w:rPr>
  </w:style>
  <w:style w:type="paragraph" w:styleId="1043" w:customStyle="1">
    <w:name w:val="样式1"/>
    <w:basedOn w:val="718"/>
    <w:uiPriority w:val="0"/>
    <w:qFormat/>
    <w:pPr>
      <w:numPr>
        <w:ilvl w:val="0"/>
        <w:numId w:val="3"/>
      </w:numPr>
    </w:pPr>
    <w:rPr>
      <w:rFonts w:ascii="宋体" w:hAnsi="宋体"/>
    </w:rPr>
  </w:style>
  <w:style w:type="paragraph" w:styleId="1044"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1045"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6"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7"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48"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0"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51"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2"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53"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54" w:customStyle="1">
    <w:name w:val="Char Char Char Char1"/>
    <w:basedOn w:val="973"/>
    <w:uiPriority w:val="0"/>
    <w:qFormat/>
    <w:pPr>
      <w:spacing w:line="360" w:lineRule="auto"/>
    </w:pPr>
    <w:rPr>
      <w:rFonts w:ascii="Tahoma" w:hAnsi="Tahoma"/>
      <w:sz w:val="24"/>
      <w:szCs w:val="24"/>
    </w:rPr>
  </w:style>
  <w:style w:type="paragraph" w:styleId="1055" w:customStyle="1">
    <w:name w:val="table_1stline"/>
    <w:basedOn w:val="718"/>
    <w:uiPriority w:val="0"/>
    <w:qFormat/>
    <w:pPr>
      <w:jc w:val="left"/>
      <w:spacing w:before="120"/>
      <w:widowControl/>
    </w:pPr>
    <w:rPr>
      <w:bCs/>
      <w:sz w:val="20"/>
      <w:szCs w:val="20"/>
      <w:lang w:val="de-DE" w:eastAsia="de-DE"/>
    </w:rPr>
  </w:style>
  <w:style w:type="paragraph" w:styleId="1056"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57"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5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0" w:customStyle="1">
    <w:name w:val="普通文字"/>
    <w:basedOn w:val="718"/>
    <w:next w:val="718"/>
    <w:uiPriority w:val="99"/>
    <w:qFormat/>
    <w:rPr>
      <w:rFonts w:ascii="宋体"/>
      <w:sz w:val="24"/>
      <w:szCs w:val="20"/>
    </w:rPr>
  </w:style>
  <w:style w:type="paragraph" w:styleId="1061" w:customStyle="1">
    <w:name w:val="目录 111"/>
    <w:basedOn w:val="718"/>
    <w:next w:val="718"/>
    <w:uiPriority w:val="39"/>
    <w:unhideWhenUsed/>
    <w:qFormat/>
    <w:pPr>
      <w:jc w:val="left"/>
      <w:spacing w:after="100" w:line="259" w:lineRule="auto"/>
      <w:widowControl/>
    </w:pPr>
    <w:rPr>
      <w:rFonts w:ascii="Calibri" w:hAnsi="Calibri"/>
      <w:sz w:val="22"/>
      <w:szCs w:val="22"/>
    </w:rPr>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15</cp:revision>
  <dcterms:created xsi:type="dcterms:W3CDTF">2025-05-16T02:17:00Z</dcterms:created>
  <dcterms:modified xsi:type="dcterms:W3CDTF">2026-03-02T02:45:01Z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BF545CD8A02B4614A0B06A754AB79438_13</vt:lpwstr>
  </property>
  <property fmtid="{D5CDD505-2E9C-101B-9397-08002B2CF9AE}" pid="4" name="KSOTemplateDocerSaveRecord">
    <vt:lpwstr>eyJoZGlkIjoiYWEwNDBkZDVjMDI2NzVhN2Q2ZjdkYzk3NDg0ZWQ4YWQiLCJ1c2VySWQiOiI1Mzk3NjA2MDAifQ==</vt:lpwstr>
  </property>
</Properties>
</file>